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C2" w:rsidRDefault="00E27BC2" w:rsidP="00E27BC2">
      <w:pPr>
        <w:pStyle w:val="ab"/>
      </w:pPr>
      <w:bookmarkStart w:id="0" w:name="OLE_LINK2"/>
      <w:bookmarkStart w:id="1" w:name="_GoBack"/>
      <w:r>
        <w:rPr>
          <w:rFonts w:hint="eastAsia"/>
        </w:rPr>
        <w:t>從安大簡《詩經》分篇再談《蟋蟀》一詩及其相關問題</w:t>
      </w:r>
    </w:p>
    <w:p w:rsidR="00E27BC2" w:rsidRPr="00E27BC2" w:rsidRDefault="00E27BC2" w:rsidP="00E27BC2">
      <w:pPr>
        <w:pStyle w:val="ac"/>
      </w:pPr>
    </w:p>
    <w:p w:rsidR="00E27BC2" w:rsidRPr="00E27BC2" w:rsidRDefault="00E27BC2" w:rsidP="00E27BC2">
      <w:pPr>
        <w:pStyle w:val="ac"/>
      </w:pPr>
      <w:r w:rsidRPr="00E27BC2">
        <w:t>（</w:t>
      </w:r>
      <w:r w:rsidRPr="00E27BC2">
        <w:rPr>
          <w:rFonts w:hint="eastAsia"/>
        </w:rPr>
        <w:t>首發</w:t>
      </w:r>
      <w:r w:rsidRPr="00E27BC2">
        <w:t>）</w:t>
      </w:r>
    </w:p>
    <w:p w:rsidR="00E27BC2" w:rsidRPr="00E27BC2" w:rsidRDefault="00E27BC2" w:rsidP="00E27BC2">
      <w:pPr>
        <w:pStyle w:val="ac"/>
      </w:pPr>
    </w:p>
    <w:p w:rsidR="00E27BC2" w:rsidRPr="00E27BC2" w:rsidRDefault="00E27BC2" w:rsidP="00E27BC2">
      <w:pPr>
        <w:pStyle w:val="ac"/>
      </w:pPr>
      <w:r w:rsidRPr="00E27BC2">
        <w:t>梁睿成</w:t>
      </w:r>
    </w:p>
    <w:p w:rsidR="00E27BC2" w:rsidRPr="00E27BC2" w:rsidRDefault="00E27BC2" w:rsidP="00E27BC2">
      <w:pPr>
        <w:pStyle w:val="ac"/>
      </w:pPr>
      <w:r w:rsidRPr="00E27BC2">
        <w:rPr>
          <w:rFonts w:hint="eastAsia"/>
        </w:rPr>
        <w:t>武漢大學歷史學院</w:t>
      </w:r>
    </w:p>
    <w:p w:rsidR="007002F8" w:rsidRDefault="00E27BC2" w:rsidP="00E27BC2">
      <w:pPr>
        <w:pStyle w:val="aa"/>
        <w:ind w:firstLine="560"/>
      </w:pPr>
      <w:r>
        <w:rPr>
          <w:rFonts w:hint="eastAsia"/>
        </w:rPr>
        <w:t>清華簡《耆夜》公佈以來，《詩經·蟋蟀》文本的問題得到更多關注，也激活了早期文獻如何流傳問題的討論。目前關於《耆夜》中周公所歌《蟋蟀》與今本《詩經·唐風·蟋蟀》的關係的研究，牛清波先生的</w:t>
      </w:r>
      <w:bookmarkStart w:id="2" w:name="OLE_LINK1"/>
      <w:r>
        <w:rPr>
          <w:rFonts w:hint="eastAsia"/>
        </w:rPr>
        <w:t>《清華簡〈耆夜〉研究論述》</w:t>
      </w:r>
      <w:bookmarkEnd w:id="2"/>
      <w:r>
        <w:rPr>
          <w:rFonts w:hint="eastAsia"/>
        </w:rPr>
        <w:t>中有較全面的收集和詳細論</w:t>
      </w:r>
      <w:r w:rsidRPr="00E27BC2">
        <w:rPr>
          <w:rFonts w:hint="eastAsia"/>
        </w:rPr>
        <w:t>述</w:t>
      </w:r>
      <w:r w:rsidR="007002F8" w:rsidRPr="00E27BC2">
        <w:endnoteReference w:id="1"/>
      </w:r>
      <w:r w:rsidR="007002F8" w:rsidRPr="00E27BC2">
        <w:rPr>
          <w:rFonts w:hint="eastAsia"/>
        </w:rPr>
        <w:t>，</w:t>
      </w:r>
      <w:r w:rsidR="007002F8">
        <w:rPr>
          <w:rFonts w:hint="eastAsia"/>
        </w:rPr>
        <w:t>可參看。現將學者觀點簡單歸納，羅列於下。</w:t>
      </w:r>
    </w:p>
    <w:p w:rsidR="007002F8" w:rsidRDefault="007002F8" w:rsidP="00E27BC2">
      <w:pPr>
        <w:pStyle w:val="aa"/>
        <w:ind w:firstLine="560"/>
      </w:pPr>
      <w:r>
        <w:rPr>
          <w:rFonts w:hint="eastAsia"/>
        </w:rPr>
        <w:t>關於二者的早晚，有以下意見：</w:t>
      </w:r>
    </w:p>
    <w:p w:rsidR="007002F8" w:rsidRPr="00E27BC2" w:rsidRDefault="007002F8" w:rsidP="00E27BC2">
      <w:pPr>
        <w:pStyle w:val="aa"/>
        <w:ind w:firstLine="560"/>
      </w:pPr>
      <w:r w:rsidRPr="00E27BC2">
        <w:rPr>
          <w:rFonts w:hint="eastAsia"/>
        </w:rPr>
        <w:t>李學勤</w:t>
      </w:r>
      <w:r w:rsidRPr="00E27BC2">
        <w:rPr>
          <w:rStyle w:val="ae"/>
          <w:vertAlign w:val="baseline"/>
        </w:rPr>
        <w:endnoteReference w:id="2"/>
      </w:r>
      <w:r w:rsidRPr="00E27BC2">
        <w:rPr>
          <w:rFonts w:hint="eastAsia"/>
        </w:rPr>
        <w:t>、孔德凌</w:t>
      </w:r>
      <w:r w:rsidRPr="00E27BC2">
        <w:rPr>
          <w:rStyle w:val="ae"/>
          <w:vertAlign w:val="baseline"/>
        </w:rPr>
        <w:endnoteReference w:id="3"/>
      </w:r>
      <w:r w:rsidRPr="00E27BC2">
        <w:rPr>
          <w:rFonts w:hint="eastAsia"/>
        </w:rPr>
        <w:t>、黃寶娟</w:t>
      </w:r>
      <w:r w:rsidRPr="00E27BC2">
        <w:rPr>
          <w:rStyle w:val="ae"/>
          <w:vertAlign w:val="baseline"/>
        </w:rPr>
        <w:endnoteReference w:id="4"/>
      </w:r>
      <w:r w:rsidRPr="00E27BC2">
        <w:rPr>
          <w:rFonts w:hint="eastAsia"/>
        </w:rPr>
        <w:t>等學者認為今本比起簡本更加規整，應該是由簡本加工、演變而來。</w:t>
      </w:r>
    </w:p>
    <w:p w:rsidR="007002F8" w:rsidRPr="00E27BC2" w:rsidRDefault="007002F8" w:rsidP="00E27BC2">
      <w:pPr>
        <w:pStyle w:val="aa"/>
        <w:ind w:firstLine="560"/>
      </w:pPr>
      <w:r w:rsidRPr="00E27BC2">
        <w:rPr>
          <w:rFonts w:hint="eastAsia"/>
        </w:rPr>
        <w:t>李銳先生則認為二者是不同系統的“族本”，不是線性關係，不能靜止地考察二者的早晚。</w:t>
      </w:r>
      <w:r w:rsidRPr="00E27BC2">
        <w:rPr>
          <w:rStyle w:val="ae"/>
          <w:vertAlign w:val="baseline"/>
        </w:rPr>
        <w:endnoteReference w:id="5"/>
      </w:r>
    </w:p>
    <w:p w:rsidR="007002F8" w:rsidRPr="00E27BC2" w:rsidRDefault="007002F8" w:rsidP="00E27BC2">
      <w:pPr>
        <w:pStyle w:val="aa"/>
        <w:ind w:firstLine="560"/>
      </w:pPr>
      <w:r w:rsidRPr="00E27BC2">
        <w:rPr>
          <w:rFonts w:hint="eastAsia"/>
        </w:rPr>
        <w:t>關於為何簡本系於周公的詩，在今本卻系於《唐風》下的問題，則有以下意見：</w:t>
      </w:r>
    </w:p>
    <w:p w:rsidR="007002F8" w:rsidRPr="00E27BC2" w:rsidRDefault="007002F8" w:rsidP="00E27BC2">
      <w:pPr>
        <w:pStyle w:val="aa"/>
        <w:ind w:firstLine="560"/>
      </w:pPr>
      <w:r>
        <w:rPr>
          <w:rFonts w:hint="eastAsia"/>
        </w:rPr>
        <w:lastRenderedPageBreak/>
        <w:t>1、</w:t>
      </w:r>
      <w:r w:rsidRPr="00E27BC2">
        <w:rPr>
          <w:rFonts w:hint="eastAsia"/>
        </w:rPr>
        <w:t>帶入說。李學勤先生認為耆（黎）國與唐有一定關係。《蟋蟀》是戡耆（黎）時作，後在此流傳。吳新勇先生則認為是周公誅滅唐地叛亂時，將伐耆獲勝所作的《蟋蟀》傳入唐地，或是周公以詩誡唐叔虞，叔虞封唐時帶入。</w:t>
      </w:r>
      <w:r w:rsidRPr="00E27BC2">
        <w:rPr>
          <w:rStyle w:val="ae"/>
          <w:vertAlign w:val="baseline"/>
        </w:rPr>
        <w:endnoteReference w:id="6"/>
      </w:r>
      <w:r w:rsidRPr="00E27BC2">
        <w:rPr>
          <w:rFonts w:hint="eastAsia"/>
        </w:rPr>
        <w:t>賈海生、錢建芳二位認為《蟋蟀》或是周天子命晋文侯、晋文公为方伯时帶入。</w:t>
      </w:r>
      <w:r w:rsidRPr="00E27BC2">
        <w:rPr>
          <w:rStyle w:val="ae"/>
          <w:vertAlign w:val="baseline"/>
        </w:rPr>
        <w:endnoteReference w:id="7"/>
      </w:r>
    </w:p>
    <w:p w:rsidR="007002F8" w:rsidRPr="00E27BC2" w:rsidRDefault="007002F8" w:rsidP="00E27BC2">
      <w:pPr>
        <w:pStyle w:val="aa"/>
        <w:ind w:firstLine="560"/>
      </w:pPr>
      <w:r>
        <w:rPr>
          <w:rFonts w:hint="eastAsia"/>
        </w:rPr>
        <w:t>2、</w:t>
      </w:r>
      <w:r w:rsidRPr="00E27BC2">
        <w:rPr>
          <w:rFonts w:hint="eastAsia"/>
        </w:rPr>
        <w:t>民歌說。梅显懋、于婷婷二位认为《蟋蟀》本是唐地民間樂歌，武王伐耆凯旋，飲至典禮上周公用此詩以告誡群臣。</w:t>
      </w:r>
      <w:r w:rsidRPr="00E27BC2">
        <w:rPr>
          <w:rStyle w:val="ae"/>
          <w:vertAlign w:val="baseline"/>
        </w:rPr>
        <w:endnoteReference w:id="8"/>
      </w:r>
    </w:p>
    <w:p w:rsidR="007002F8" w:rsidRPr="00E27BC2" w:rsidRDefault="007002F8" w:rsidP="00E27BC2">
      <w:pPr>
        <w:pStyle w:val="aa"/>
        <w:ind w:firstLine="560"/>
      </w:pPr>
      <w:r w:rsidRPr="00E27BC2">
        <w:rPr>
          <w:rFonts w:hint="eastAsia"/>
        </w:rPr>
        <w:t>3、平行說。李銳先生則立足於族本的理論，認為周公所歌《蟋蟀》則是選用、改編某一《蟋蟀》族本而成。流傳過程中，陶唐移民運用某一系統族本的《蟋蟀》以刺晉僖公，後被採入《唐風》。</w:t>
      </w:r>
      <w:r w:rsidRPr="00E27BC2">
        <w:rPr>
          <w:rStyle w:val="ae"/>
          <w:vertAlign w:val="baseline"/>
        </w:rPr>
        <w:endnoteReference w:id="9"/>
      </w:r>
    </w:p>
    <w:p w:rsidR="007002F8" w:rsidRPr="00E27BC2" w:rsidRDefault="007002F8" w:rsidP="00E27BC2">
      <w:pPr>
        <w:pStyle w:val="aa"/>
        <w:ind w:firstLine="560"/>
      </w:pPr>
      <w:r w:rsidRPr="00E27BC2">
        <w:rPr>
          <w:rFonts w:hint="eastAsia"/>
        </w:rPr>
        <w:t>本文則更關注第二個問題。帶入說無疑將《蟋蟀》的原創歸給了周公，視《唐風》為傳播；民歌說則把原創歸給唐地，視周公為藉用。二者剛好相反。平行說則擱置了“作者”問題的討論，而把二者視作是不同時空中對《蟋蟀》不同族本的應用，頗有新意。而筆者則試圖用安大簡目前公佈的信息，再次探討這個問題。</w:t>
      </w:r>
    </w:p>
    <w:p w:rsidR="007002F8" w:rsidRPr="00E27BC2" w:rsidRDefault="007002F8" w:rsidP="00E27BC2">
      <w:pPr>
        <w:pStyle w:val="aa"/>
        <w:ind w:firstLine="560"/>
      </w:pPr>
      <w:r w:rsidRPr="00E27BC2">
        <w:rPr>
          <w:rFonts w:hint="eastAsia"/>
        </w:rPr>
        <w:t>徐在國先生《安徽大学藏战国竹简〈诗经〉诗序与异文》中透露了安大簡《詩經》分篇的情況，其中兩點與本文有關：一是在今本屬《唐風》的《蟋蟀》、《揚之水》、《山有樞》、《椒聊》、《綢繆》、《有杕</w:t>
      </w:r>
      <w:r w:rsidRPr="00E27BC2">
        <w:rPr>
          <w:rFonts w:hint="eastAsia"/>
        </w:rPr>
        <w:lastRenderedPageBreak/>
        <w:t>之杜》、《羔裘》、《無衣》、《鴇羽》諸篇，與《葛屦》（今本屬《魏風》）在安大簡中一併歸入《魏風》；二是原屬於《魏風》的《汾沮洳》、《陟岵》、《园有桃》、《伐檀》、《硕鼠》、《十亩之间》被歸入了新出現的《侯風》。</w:t>
      </w:r>
      <w:r w:rsidRPr="00E27BC2">
        <w:rPr>
          <w:rStyle w:val="ae"/>
          <w:vertAlign w:val="baseline"/>
        </w:rPr>
        <w:endnoteReference w:id="10"/>
      </w:r>
      <w:r w:rsidRPr="00E27BC2">
        <w:rPr>
          <w:rFonts w:hint="eastAsia"/>
        </w:rPr>
        <w:t>材料尚未正式公佈，筆者現在推測這首《蟋蟀》應該不是新出現的同名佚詩，因為它是和其他八首今屬《唐風》整體被編入《魏風》，應該是分篇異於漢代四家詩所致，具體的差異可能僅在字句上。這種分篇差異的出現無疑衝擊了原來分篇的那種經典性和決定性。因此，以上基於《蟋蟀》歸入《唐風》所得出的觀點就面臨新的疑問，這也使我們再次思考《詩經》在先秦到底經歷了怎樣的編組過？先秦時代又是如何去認識詩的？</w:t>
      </w:r>
    </w:p>
    <w:p w:rsidR="007002F8" w:rsidRPr="00E27BC2" w:rsidRDefault="007002F8" w:rsidP="00E27BC2">
      <w:pPr>
        <w:pStyle w:val="aa"/>
        <w:ind w:firstLine="560"/>
      </w:pPr>
      <w:r w:rsidRPr="00E27BC2">
        <w:rPr>
          <w:rFonts w:hint="eastAsia"/>
        </w:rPr>
        <w:t>漢代詩學將《蟋蟀》歸入《唐風》並非僅限於毛詩，《漢書·地理志下》寫河東“本陶唐所居”，引及《蟋蟀》文，言其為“唐詩”。這可能代表了當時比較一般性的認知。齊、魯、韓三家後來雖亡，但從《藝文志》或者鄭玄詩《箋》到後來《釋文》、《正義》的時代都未透露出三家分篇與毛有異的信息，不然應該給予一定的解釋。</w:t>
      </w:r>
    </w:p>
    <w:p w:rsidR="007002F8" w:rsidRPr="00E27BC2" w:rsidRDefault="007002F8" w:rsidP="00E27BC2">
      <w:pPr>
        <w:pStyle w:val="aa"/>
        <w:ind w:firstLine="560"/>
      </w:pPr>
      <w:r w:rsidRPr="00E27BC2">
        <w:rPr>
          <w:rFonts w:hint="eastAsia"/>
        </w:rPr>
        <w:t>分篇對於漢代詩經學的闡釋是非常重要的，分篇不同代表著對詩的產生地域的認識不同，而地域的特徵與歷史往往是漢代詩經學解讀詩意的先決性條件，這個在《詩序》、《漢書·地理志》、《詩譜》都能</w:t>
      </w:r>
      <w:r w:rsidRPr="00E27BC2">
        <w:rPr>
          <w:rFonts w:hint="eastAsia"/>
        </w:rPr>
        <w:lastRenderedPageBreak/>
        <w:t>看到。又如柯馬丁教授所注意到的一個例子，《關雎》中的“窈窕”與《月出》中的“窈糾”其實是同一個詞，在毛傳中被解釋為不同的意思，前者被理解為美德，後者則被理解為艷色。</w:t>
      </w:r>
      <w:r w:rsidRPr="00E27BC2">
        <w:rPr>
          <w:rStyle w:val="ae"/>
          <w:vertAlign w:val="baseline"/>
        </w:rPr>
        <w:endnoteReference w:id="11"/>
      </w:r>
      <w:r w:rsidRPr="00E27BC2">
        <w:rPr>
          <w:rFonts w:hint="eastAsia"/>
        </w:rPr>
        <w:t>這種解讀最直接的依據或許是《詩序》，但《詩序》本身的理解也是有分篇和地域作為支撐的。詩系於《周南》，就要在“正風”的範疇內理解，詩系於《陳風》，則要在“變風”的範疇內來理解，因此產生一詞兩意。</w:t>
      </w:r>
    </w:p>
    <w:p w:rsidR="007002F8" w:rsidRDefault="007002F8" w:rsidP="00E27BC2">
      <w:pPr>
        <w:pStyle w:val="aa"/>
        <w:ind w:firstLine="560"/>
      </w:pPr>
      <w:r w:rsidRPr="00E27BC2">
        <w:rPr>
          <w:rFonts w:hint="eastAsia"/>
        </w:rPr>
        <w:t>唐地在漢代文獻中被描述成一個有先王遺風，崇尚儉樸的地區：</w:t>
      </w:r>
      <w:r>
        <w:t xml:space="preserve"> </w:t>
      </w:r>
    </w:p>
    <w:p w:rsidR="007002F8" w:rsidRPr="00E27BC2" w:rsidRDefault="007002F8" w:rsidP="00E27BC2">
      <w:pPr>
        <w:pStyle w:val="a3"/>
        <w:spacing w:before="540" w:after="540"/>
        <w:ind w:firstLine="496"/>
      </w:pPr>
      <w:r w:rsidRPr="00E27BC2">
        <w:rPr>
          <w:rFonts w:hint="eastAsia"/>
        </w:rPr>
        <w:t>昔唐人都河東，殷人都河內，周人都河南。夫三河在天下之中，若鼎足，王者所更居也，建國各數百千歲，土地小狹，民人眾，都國諸侯所聚會，故其俗纖儉習事。（《史記·貨殖列傳》）</w:t>
      </w:r>
    </w:p>
    <w:p w:rsidR="007002F8" w:rsidRPr="00E27BC2" w:rsidRDefault="007002F8" w:rsidP="00E27BC2">
      <w:pPr>
        <w:pStyle w:val="a3"/>
        <w:spacing w:before="540" w:after="540"/>
        <w:ind w:firstLine="496"/>
        <w:rPr>
          <w:rFonts w:hint="eastAsia"/>
        </w:rPr>
      </w:pPr>
      <w:r w:rsidRPr="00E27BC2">
        <w:rPr>
          <w:rFonts w:hint="eastAsia"/>
        </w:rPr>
        <w:t>河東土地平易，有鹽鐵之饒，本唐堯所居，詩風唐、魏之國也。……其民有先王遺教，君子深思，小人儉陋。（《漢書·地理志》）</w:t>
      </w:r>
    </w:p>
    <w:p w:rsidR="007002F8" w:rsidRPr="00E27BC2" w:rsidRDefault="007002F8" w:rsidP="00E27BC2">
      <w:pPr>
        <w:pStyle w:val="a3"/>
        <w:spacing w:before="540" w:after="540"/>
        <w:ind w:firstLine="496"/>
        <w:rPr>
          <w:rFonts w:hint="eastAsia"/>
        </w:rPr>
      </w:pPr>
      <w:r w:rsidRPr="00E27BC2">
        <w:rPr>
          <w:rFonts w:hint="eastAsia"/>
        </w:rPr>
        <w:t>昔堯之末，洪水九年，下民其咨，萬國不粒。於時殺禮以救艱厄，其流乃被於今。（《詩譜·唐譜》）</w:t>
      </w:r>
    </w:p>
    <w:p w:rsidR="007002F8" w:rsidRPr="00E27BC2" w:rsidRDefault="007002F8" w:rsidP="00E27BC2">
      <w:pPr>
        <w:pStyle w:val="aa"/>
        <w:ind w:firstLine="560"/>
        <w:rPr>
          <w:rFonts w:hint="eastAsia"/>
        </w:rPr>
      </w:pPr>
      <w:r w:rsidRPr="00E27BC2">
        <w:rPr>
          <w:rFonts w:hint="eastAsia"/>
        </w:rPr>
        <w:t>這種認識在《蟋蟀》的理解中被贯彻：</w:t>
      </w:r>
    </w:p>
    <w:p w:rsidR="007002F8" w:rsidRPr="00E27BC2" w:rsidRDefault="007002F8" w:rsidP="00E27BC2">
      <w:pPr>
        <w:pStyle w:val="aa"/>
        <w:ind w:firstLine="560"/>
        <w:rPr>
          <w:rFonts w:hint="eastAsia"/>
        </w:rPr>
      </w:pPr>
      <w:r w:rsidRPr="00E27BC2">
        <w:rPr>
          <w:rFonts w:hint="eastAsia"/>
        </w:rPr>
        <w:t>《蟋蟀》的《小序》言“刺晉僖公，儉不中禮，故作是詩以閔之，欲其及時以禮自虞樂也。此晉也，而謂之唐，本其風俗，憂思遠慮，</w:t>
      </w:r>
      <w:r w:rsidRPr="00E27BC2">
        <w:rPr>
          <w:rFonts w:hint="eastAsia"/>
        </w:rPr>
        <w:lastRenderedPageBreak/>
        <w:t>儉而用禮，乃有堯之遺風焉。”王先謙《詩三家義集疏》輯有齊、魯二家說，主題也是“刺儉”，</w:t>
      </w:r>
      <w:r w:rsidRPr="00E27BC2">
        <w:rPr>
          <w:rStyle w:val="ae"/>
          <w:vertAlign w:val="baseline"/>
        </w:rPr>
        <w:endnoteReference w:id="12"/>
      </w:r>
      <w:r w:rsidRPr="00E27BC2">
        <w:rPr>
          <w:rFonts w:hint="eastAsia"/>
        </w:rPr>
        <w:t>雖沒有材料表明是指晉僖公。</w:t>
      </w:r>
    </w:p>
    <w:p w:rsidR="007002F8" w:rsidRPr="00E27BC2" w:rsidRDefault="007002F8" w:rsidP="00E27BC2">
      <w:pPr>
        <w:pStyle w:val="aa"/>
        <w:ind w:firstLine="560"/>
        <w:rPr>
          <w:rFonts w:hint="eastAsia"/>
        </w:rPr>
      </w:pPr>
      <w:r w:rsidRPr="00E27BC2">
        <w:rPr>
          <w:rFonts w:hint="eastAsia"/>
        </w:rPr>
        <w:t>李學勤先生根據晉僖公墓的發現提出：“晉僖公絕不是儉嗇的人，而是耽於逸樂，愛好田遊和美味的豪奢貴族。”</w:t>
      </w:r>
      <w:r w:rsidRPr="00E27BC2">
        <w:rPr>
          <w:rStyle w:val="ae"/>
          <w:vertAlign w:val="baseline"/>
        </w:rPr>
        <w:endnoteReference w:id="13"/>
      </w:r>
      <w:r w:rsidRPr="00E27BC2">
        <w:rPr>
          <w:rFonts w:hint="eastAsia"/>
        </w:rPr>
        <w:t>有力地否定了《詩序》僖公儉不中禮的說法。但據此尚不足全盤駁倒“刺儉”說，畢竟《詩序》的說法可能僅是把儉樸的主題附會到一個具體的人上而已，只是現在證明《詩序》剛好找錯了人。</w:t>
      </w:r>
    </w:p>
    <w:p w:rsidR="00E27BC2" w:rsidRPr="00E27BC2" w:rsidRDefault="007002F8" w:rsidP="00E27BC2">
      <w:pPr>
        <w:pStyle w:val="aa"/>
        <w:ind w:firstLine="560"/>
        <w:rPr>
          <w:rFonts w:hint="eastAsia"/>
        </w:rPr>
      </w:pPr>
      <w:r w:rsidRPr="00E27BC2">
        <w:rPr>
          <w:rFonts w:hint="eastAsia"/>
        </w:rPr>
        <w:t>而清華簡《耆夜》中的《蟋蟀》卻是被在飲至典禮中，被周公用於提醒群臣“康樂而毋荒”，保持戒懼。因此現在也有不少學者傾向認為這才是《蟋蟀》一詩的本意。的確在《耆夜》的語境中來理解《蟋蟀》一詩的文句確實較為流暢、合適。但需要注意《耆夜》一篇的性質很難說是西周初年的原始文獻，更像是後人追述西周初年所做的故事，這點前人已有討論</w:t>
      </w:r>
      <w:r w:rsidRPr="00E27BC2">
        <w:rPr>
          <w:rStyle w:val="ae"/>
          <w:vertAlign w:val="baseline"/>
        </w:rPr>
        <w:endnoteReference w:id="14"/>
      </w:r>
      <w:r w:rsidRPr="00E27BC2">
        <w:rPr>
          <w:rFonts w:hint="eastAsia"/>
        </w:rPr>
        <w:t>。因此通過一篇後起的文獻來證明《蟋蟀》就是周初的周公所附之詩，未必合理。或許《耆夜》的作者是把自己對《蟋蟀》詩意的理解——“告誡”——添加到和周公有關的故事的創作上（《周公之琴舞》情況類似），且他的選擇的場景契合於詩句的直白讀法，使得我們更容易接受而已。另，孫飛燕還指出《左傳·襄公二十七年》記載的印段賦《蟋蟀》，趙孟回答為“善哉，保家之主”</w:t>
      </w:r>
      <w:r w:rsidRPr="00E27BC2">
        <w:rPr>
          <w:rFonts w:hint="eastAsia"/>
        </w:rPr>
        <w:lastRenderedPageBreak/>
        <w:t>也以主旨是戒懼，以佐證《耆夜》中《蟋蟀》主旨為戒懼的合理。</w:t>
      </w:r>
      <w:r w:rsidRPr="00E27BC2">
        <w:rPr>
          <w:rStyle w:val="ae"/>
          <w:vertAlign w:val="baseline"/>
        </w:rPr>
        <w:endnoteReference w:id="15"/>
      </w:r>
      <w:r w:rsidRPr="00E27BC2">
        <w:rPr>
          <w:rFonts w:hint="eastAsia"/>
        </w:rPr>
        <w:t>然</w:t>
      </w:r>
      <w:r w:rsidR="00E27BC2" w:rsidRPr="00E27BC2">
        <w:rPr>
          <w:rFonts w:hint="eastAsia"/>
        </w:rPr>
        <w:t>春秋外交中的賦詩，多是“斷章取義”，取的就是詩句表面的意思。若按如季旭升等一些學者的觀點，從語言、詞彙角度把《耆夜》定在春秋後期的話，其作者對《蟋蟀》的直白解讀與春秋時期賦詩的大環境其實是相一致的，但字面意思是否就是詩本意呢？在詩歌最初產生的背景已經喪失的情況下并不能斷定。</w:t>
      </w:r>
    </w:p>
    <w:p w:rsidR="00E27BC2" w:rsidRPr="00E27BC2" w:rsidRDefault="00E27BC2" w:rsidP="00E27BC2">
      <w:pPr>
        <w:pStyle w:val="aa"/>
        <w:ind w:firstLine="560"/>
        <w:rPr>
          <w:rFonts w:hint="eastAsia"/>
        </w:rPr>
      </w:pPr>
      <w:r w:rsidRPr="00E27BC2">
        <w:rPr>
          <w:rFonts w:hint="eastAsia"/>
        </w:rPr>
        <w:t>就目前的材料而言，《蟋蟀》的作者、產地、本意都無法坐實，而安大簡把《蟋蟀》歸入《魏風》更是加劇了這種情況，也使得我們更不能線性地看待《蟋蟀》，甚至是《詩經》在先秦的理解、接受與流傳。</w:t>
      </w:r>
    </w:p>
    <w:p w:rsidR="00E27BC2" w:rsidRPr="00E27BC2" w:rsidRDefault="00E27BC2" w:rsidP="00E27BC2">
      <w:pPr>
        <w:pStyle w:val="aa"/>
        <w:ind w:firstLine="560"/>
        <w:rPr>
          <w:rFonts w:hint="eastAsia"/>
        </w:rPr>
      </w:pPr>
      <w:r w:rsidRPr="00E27BC2">
        <w:rPr>
          <w:rFonts w:hint="eastAsia"/>
        </w:rPr>
        <w:t>前文所列的帶入說和民歌說就是把《唐風》的《蟋蟀》和《耆夜》的《蟋蟀》做了線性的連接。因此面對安大簡的情況，就面临很多的解释困境，而且目前的史料無法回答，只能停留在猜測。此二說的觀點涉及周公，此處暫先認定周公與《蟋蟀》有關。按第一种说法，是周初封魏時也把這首詩贈給了魏國嗎？還是贈送給了魏或晉中的一個，後來四家詩或安大簡其中一個弄錯了？按第二種說法，是兩地產生一首相同或极其类似的詩？或是周公所採當是魏或晉的一個，四家詩或安大簡其中一個弄錯了？若拘泥於考察到底是魏風还是晉風，就</w:t>
      </w:r>
      <w:r w:rsidRPr="00E27BC2">
        <w:rPr>
          <w:rFonts w:hint="eastAsia"/>
        </w:rPr>
        <w:lastRenderedPageBreak/>
        <w:t>又陷入了另一種線性。再出土《蟋蟀》在其他《風》內，又將如何去圓呢？況且周公還未必與《蟋蟀》有關。</w:t>
      </w:r>
    </w:p>
    <w:p w:rsidR="00E27BC2" w:rsidRPr="00E27BC2" w:rsidRDefault="00E27BC2" w:rsidP="00E27BC2">
      <w:pPr>
        <w:pStyle w:val="aa"/>
        <w:ind w:firstLine="560"/>
        <w:rPr>
          <w:rFonts w:hint="eastAsia"/>
        </w:rPr>
      </w:pPr>
      <w:r w:rsidRPr="00E27BC2">
        <w:rPr>
          <w:rFonts w:hint="eastAsia"/>
        </w:rPr>
        <w:t>但若懸置作者和本意，採取平行說的傾向，則可以比較好地解釋這些複雜的現象。</w:t>
      </w:r>
    </w:p>
    <w:p w:rsidR="00E27BC2" w:rsidRPr="00E27BC2" w:rsidRDefault="00E27BC2" w:rsidP="00E27BC2">
      <w:pPr>
        <w:pStyle w:val="aa"/>
        <w:ind w:firstLine="560"/>
        <w:rPr>
          <w:rFonts w:hint="eastAsia"/>
        </w:rPr>
      </w:pPr>
      <w:r w:rsidRPr="00E27BC2">
        <w:rPr>
          <w:rFonts w:hint="eastAsia"/>
        </w:rPr>
        <w:t>春秋以來，部分詩的背景知識如作者和產地已經變得模糊，詩意的解讀也因詩背景語境的缺乏而出現了差異，在這一點上，先秦學者和漢代經師沒有本質區別，只是程度不同。就《蟋蟀》一詩而言，現先假設《耆夜》把《蟋蟀》敘述為周公所賦，是作者的“想象”，非周公真賦《蟋蟀》。那我們需要思考《耆夜》作者所處的時代，時人包括作者自己是否知道這首詩的產地？若詩的產地是明確的（比如是唐地），那作者依然固執地將《蟋蟀》歸入周公名下，豈不是沒有說服力？若《耆夜》的確反映了真實情況，即《周公》賦《蟋蟀》。那戰國時期的安大簡、古文《毛詩》又各自將該詩歸入《魏風》和《唐風》，而不歸入《周南》又是為何？《毛詩》是北方系統，暫且不論。清華簡《耆夜》和安大簡都是戰國楚地的文本，則周公賦《蟋蟀》的說法在戰國的楚地是存在的，并不是周初發生該事後，後人不知。若這種說法在戰國楚地是共識，那安大簡《蟋蟀》入《魏風》就確實奇怪了。</w:t>
      </w:r>
    </w:p>
    <w:p w:rsidR="00E27BC2" w:rsidRPr="00E27BC2" w:rsidRDefault="00E27BC2" w:rsidP="00E27BC2">
      <w:pPr>
        <w:pStyle w:val="aa"/>
        <w:ind w:firstLine="560"/>
        <w:rPr>
          <w:rFonts w:hint="eastAsia"/>
        </w:rPr>
      </w:pPr>
      <w:r w:rsidRPr="00E27BC2">
        <w:rPr>
          <w:rFonts w:hint="eastAsia"/>
        </w:rPr>
        <w:t>抱著先秦時人一定知道詩的作者、產地以及本旨，甚至他們的認</w:t>
      </w:r>
      <w:r w:rsidRPr="00E27BC2">
        <w:rPr>
          <w:rFonts w:hint="eastAsia"/>
        </w:rPr>
        <w:lastRenderedPageBreak/>
        <w:t>知都是一致的先見，則無助於解答以上疑問。相反，我們若認為時人的確不知道這些詩的背景了，那《蟋蟀》的歸篇和使用的繁雜就是很自然的事情。不同的觀點和分篇可以並存，它們之間不存在線性的源流關係，而是彼此獨立的。另外八首今本屬《唐風》以及六首今本屬《魏風》的詩，前者在安大簡入《魏風》，後者編入新出現的《侯風》，可能情況是類似的。</w:t>
      </w:r>
    </w:p>
    <w:p w:rsidR="00E27BC2" w:rsidRPr="00E27BC2" w:rsidRDefault="00E27BC2" w:rsidP="00E27BC2">
      <w:pPr>
        <w:pStyle w:val="aa"/>
        <w:ind w:firstLine="560"/>
        <w:rPr>
          <w:rFonts w:hint="eastAsia"/>
        </w:rPr>
      </w:pPr>
      <w:r w:rsidRPr="00E27BC2">
        <w:rPr>
          <w:rFonts w:hint="eastAsia"/>
        </w:rPr>
        <w:t>至於《蟋蟀》何以有入《魏風》這種情況出現，最後稍作臆測。</w:t>
      </w:r>
    </w:p>
    <w:p w:rsidR="00E27BC2" w:rsidRPr="00E27BC2" w:rsidRDefault="00E27BC2" w:rsidP="00E27BC2">
      <w:pPr>
        <w:pStyle w:val="aa"/>
        <w:ind w:firstLine="560"/>
        <w:rPr>
          <w:rFonts w:hint="eastAsia"/>
        </w:rPr>
      </w:pPr>
      <w:r w:rsidRPr="00E27BC2">
        <w:rPr>
          <w:rFonts w:hint="eastAsia"/>
        </w:rPr>
        <w:t>《左傳·襄公二十八年》季札觀樂，感歎魏樂“美哉，渢渢乎，大而婉，險而易（《史記·吳太伯世家》作“儉而易”），行以德輔，此則明主也。”感歎唐樂“思深哉！其有陶唐氏之遺民乎？不然，何憂之遠也？非令德之後，誰能若是？”前文引《地理志》也是魏、唐并提，說明二風的詩總體上風格相似，比如崇尚俭朴。雖然我們不知道春秋時季札所聞唐風和魏風具體包括哪些詩。戰國時的某個編者在接受到《蟋蟀》、《葛屦》一类的诗時，他或許已經不確切知道詩的產地與作者，而他理解這些詩旨意相類，如“刺儉”，而魏、唐之地有尚儉之傳統，則他可能就會把這些詩歸到《魏風》（當然他也可以選擇《唐風》）之中。就像《耆夜》的作者理解詩旨是“戒懼”，那他就可以把詩的場景安排在歡愉的慶功典禮上，托周公之口表達出來一樣。</w:t>
      </w:r>
    </w:p>
    <w:bookmarkEnd w:id="0"/>
    <w:bookmarkEnd w:id="1"/>
    <w:p w:rsidR="00C90543" w:rsidRPr="00E27BC2" w:rsidRDefault="00C90543" w:rsidP="007B0257">
      <w:pPr>
        <w:jc w:val="left"/>
      </w:pPr>
    </w:p>
    <w:sectPr w:rsidR="00C90543" w:rsidRPr="00E27BC2">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21" w:rsidRDefault="00BA6421" w:rsidP="00CB0024">
      <w:r>
        <w:separator/>
      </w:r>
    </w:p>
  </w:endnote>
  <w:endnote w:type="continuationSeparator" w:id="0">
    <w:p w:rsidR="00BA6421" w:rsidRDefault="00BA6421" w:rsidP="00CB0024">
      <w:r>
        <w:continuationSeparator/>
      </w:r>
    </w:p>
  </w:endnote>
  <w:endnote w:id="1">
    <w:p w:rsidR="007002F8" w:rsidRPr="00E27BC2" w:rsidRDefault="007002F8" w:rsidP="001332B7">
      <w:pPr>
        <w:pStyle w:val="ad"/>
      </w:pPr>
      <w:bookmarkStart w:id="3" w:name="OLE_LINK3"/>
      <w:r w:rsidRPr="00E27BC2">
        <w:endnoteRef/>
      </w:r>
      <w:r w:rsidRPr="00E27BC2">
        <w:t xml:space="preserve"> </w:t>
      </w:r>
      <w:r w:rsidRPr="00E27BC2">
        <w:rPr>
          <w:rFonts w:hint="eastAsia"/>
        </w:rPr>
        <w:t>牛清波：《清華簡〈耆夜〉研究論述》，《文藝評論》，</w:t>
      </w:r>
      <w:r w:rsidRPr="00E27BC2">
        <w:t>2017</w:t>
      </w:r>
      <w:r w:rsidRPr="00E27BC2">
        <w:rPr>
          <w:rFonts w:hint="eastAsia"/>
        </w:rPr>
        <w:t>年第</w:t>
      </w:r>
      <w:r w:rsidRPr="00E27BC2">
        <w:t>1</w:t>
      </w:r>
      <w:r w:rsidRPr="00E27BC2">
        <w:rPr>
          <w:rFonts w:hint="eastAsia"/>
        </w:rPr>
        <w:t>期。</w:t>
      </w:r>
    </w:p>
  </w:endnote>
  <w:endnote w:id="2">
    <w:p w:rsidR="007002F8" w:rsidRPr="00E27BC2" w:rsidRDefault="007002F8" w:rsidP="001332B7">
      <w:pPr>
        <w:pStyle w:val="ad"/>
      </w:pPr>
      <w:r w:rsidRPr="00E27BC2">
        <w:endnoteRef/>
      </w:r>
      <w:r w:rsidRPr="00E27BC2">
        <w:t xml:space="preserve"> </w:t>
      </w:r>
      <w:r w:rsidRPr="00E27BC2">
        <w:rPr>
          <w:rFonts w:hint="eastAsia"/>
        </w:rPr>
        <w:t>李学勤：《论清华简〈耆夜〉的〈蟋蟀〉詩》，《中國文化》，</w:t>
      </w:r>
      <w:r w:rsidRPr="00E27BC2">
        <w:t xml:space="preserve">2011 </w:t>
      </w:r>
      <w:r w:rsidRPr="00E27BC2">
        <w:rPr>
          <w:rFonts w:hint="eastAsia"/>
        </w:rPr>
        <w:t>年第</w:t>
      </w:r>
      <w:r w:rsidRPr="00E27BC2">
        <w:t>1</w:t>
      </w:r>
      <w:r w:rsidRPr="00E27BC2">
        <w:rPr>
          <w:rFonts w:hint="eastAsia"/>
        </w:rPr>
        <w:t>期。</w:t>
      </w:r>
    </w:p>
  </w:endnote>
  <w:endnote w:id="3">
    <w:p w:rsidR="007002F8" w:rsidRPr="00E27BC2" w:rsidRDefault="007002F8" w:rsidP="001332B7">
      <w:pPr>
        <w:pStyle w:val="ad"/>
      </w:pPr>
      <w:r w:rsidRPr="00E27BC2">
        <w:endnoteRef/>
      </w:r>
      <w:r w:rsidRPr="00E27BC2">
        <w:t xml:space="preserve"> </w:t>
      </w:r>
      <w:r w:rsidRPr="00E27BC2">
        <w:rPr>
          <w:rFonts w:hint="eastAsia"/>
        </w:rPr>
        <w:t>孔德淩：《清華簡〈蟋蟀〉與〈唐風·蟋蟀〉異同考論——兼論清華簡〈蟋蟀〉的主題》，《北方論叢》，</w:t>
      </w:r>
      <w:r w:rsidRPr="00E27BC2">
        <w:t xml:space="preserve">2015 </w:t>
      </w:r>
      <w:r w:rsidRPr="00E27BC2">
        <w:rPr>
          <w:rFonts w:hint="eastAsia"/>
        </w:rPr>
        <w:t>年第</w:t>
      </w:r>
      <w:r w:rsidRPr="00E27BC2">
        <w:t>1</w:t>
      </w:r>
      <w:r w:rsidRPr="00E27BC2">
        <w:rPr>
          <w:rFonts w:hint="eastAsia"/>
        </w:rPr>
        <w:t>期。</w:t>
      </w:r>
    </w:p>
  </w:endnote>
  <w:endnote w:id="4">
    <w:p w:rsidR="007002F8" w:rsidRPr="00E27BC2" w:rsidRDefault="007002F8" w:rsidP="001332B7">
      <w:pPr>
        <w:pStyle w:val="ad"/>
      </w:pPr>
      <w:r w:rsidRPr="00E27BC2">
        <w:endnoteRef/>
      </w:r>
      <w:r w:rsidRPr="00E27BC2">
        <w:t xml:space="preserve"> </w:t>
      </w:r>
      <w:r w:rsidRPr="00E27BC2">
        <w:rPr>
          <w:rFonts w:hint="eastAsia"/>
        </w:rPr>
        <w:t>黃寶娟：《簡牘文獻的詩學研究》，濟南大學碩士學位論文，</w:t>
      </w:r>
      <w:r w:rsidRPr="00E27BC2">
        <w:t xml:space="preserve">2011 </w:t>
      </w:r>
      <w:r w:rsidRPr="00E27BC2">
        <w:rPr>
          <w:rFonts w:hint="eastAsia"/>
        </w:rPr>
        <w:t>年。</w:t>
      </w:r>
    </w:p>
  </w:endnote>
  <w:endnote w:id="5">
    <w:p w:rsidR="007002F8" w:rsidRPr="00E27BC2" w:rsidRDefault="007002F8" w:rsidP="001332B7">
      <w:pPr>
        <w:pStyle w:val="ad"/>
      </w:pPr>
      <w:r w:rsidRPr="00E27BC2">
        <w:endnoteRef/>
      </w:r>
      <w:r w:rsidRPr="00E27BC2">
        <w:t xml:space="preserve"> </w:t>
      </w:r>
      <w:r w:rsidRPr="00E27BC2">
        <w:rPr>
          <w:rFonts w:hint="eastAsia"/>
        </w:rPr>
        <w:t>李銳：《清華簡〈耆夜〉續探》，《中原文化研究》，</w:t>
      </w:r>
      <w:r w:rsidRPr="00E27BC2">
        <w:t xml:space="preserve">2014 </w:t>
      </w:r>
      <w:r w:rsidRPr="00E27BC2">
        <w:rPr>
          <w:rFonts w:hint="eastAsia"/>
        </w:rPr>
        <w:t>年第</w:t>
      </w:r>
      <w:r w:rsidRPr="00E27BC2">
        <w:t>2</w:t>
      </w:r>
      <w:r w:rsidRPr="00E27BC2">
        <w:rPr>
          <w:rFonts w:hint="eastAsia"/>
        </w:rPr>
        <w:t>期。</w:t>
      </w:r>
    </w:p>
  </w:endnote>
  <w:endnote w:id="6">
    <w:p w:rsidR="007002F8" w:rsidRPr="00E27BC2" w:rsidRDefault="007002F8" w:rsidP="001332B7">
      <w:pPr>
        <w:pStyle w:val="ad"/>
      </w:pPr>
      <w:r w:rsidRPr="00E27BC2">
        <w:endnoteRef/>
      </w:r>
      <w:r w:rsidRPr="00E27BC2">
        <w:t xml:space="preserve"> </w:t>
      </w:r>
      <w:r w:rsidRPr="00E27BC2">
        <w:rPr>
          <w:rFonts w:hint="eastAsia"/>
        </w:rPr>
        <w:t>吳新勇：《清華簡〈蟋蟀〉及其所見周公無逸思想》，《史學月刊》，</w:t>
      </w:r>
      <w:r w:rsidRPr="00E27BC2">
        <w:t xml:space="preserve">2012 </w:t>
      </w:r>
      <w:r w:rsidRPr="00E27BC2">
        <w:rPr>
          <w:rFonts w:hint="eastAsia"/>
        </w:rPr>
        <w:t>年第</w:t>
      </w:r>
      <w:r w:rsidRPr="00E27BC2">
        <w:t>4</w:t>
      </w:r>
      <w:r w:rsidRPr="00E27BC2">
        <w:rPr>
          <w:rFonts w:hint="eastAsia"/>
        </w:rPr>
        <w:t>期。</w:t>
      </w:r>
    </w:p>
  </w:endnote>
  <w:endnote w:id="7">
    <w:p w:rsidR="007002F8" w:rsidRPr="00E27BC2" w:rsidRDefault="007002F8" w:rsidP="001332B7">
      <w:pPr>
        <w:pStyle w:val="ad"/>
      </w:pPr>
      <w:r w:rsidRPr="00E27BC2">
        <w:endnoteRef/>
      </w:r>
      <w:r w:rsidRPr="00E27BC2">
        <w:t xml:space="preserve"> </w:t>
      </w:r>
      <w:r w:rsidRPr="00E27BC2">
        <w:rPr>
          <w:rFonts w:hint="eastAsia"/>
        </w:rPr>
        <w:t>賈海生、錢建芳《周公所作〈蟋蟀〉因何被編入〈詩經·唐風〉中》，《中國典籍與文化》，</w:t>
      </w:r>
      <w:r w:rsidRPr="00E27BC2">
        <w:t>2013</w:t>
      </w:r>
      <w:r w:rsidRPr="00E27BC2">
        <w:rPr>
          <w:rFonts w:hint="eastAsia"/>
        </w:rPr>
        <w:t>年第</w:t>
      </w:r>
      <w:r w:rsidRPr="00E27BC2">
        <w:t>4</w:t>
      </w:r>
      <w:r w:rsidRPr="00E27BC2">
        <w:rPr>
          <w:rFonts w:hint="eastAsia"/>
        </w:rPr>
        <w:t>期。</w:t>
      </w:r>
    </w:p>
  </w:endnote>
  <w:endnote w:id="8">
    <w:p w:rsidR="007002F8" w:rsidRPr="00E27BC2" w:rsidRDefault="007002F8" w:rsidP="001332B7">
      <w:pPr>
        <w:pStyle w:val="ad"/>
      </w:pPr>
      <w:r w:rsidRPr="00E27BC2">
        <w:endnoteRef/>
      </w:r>
      <w:r w:rsidRPr="00E27BC2">
        <w:t xml:space="preserve"> </w:t>
      </w:r>
      <w:r w:rsidRPr="00E27BC2">
        <w:rPr>
          <w:rFonts w:hint="eastAsia"/>
        </w:rPr>
        <w:t>梅顯懋、于婷婷：《論兩〈蟋蟀〉源流關係及其作者問題》，《遼寧師範大學學報》，</w:t>
      </w:r>
      <w:r w:rsidRPr="00E27BC2">
        <w:t xml:space="preserve">2013 </w:t>
      </w:r>
      <w:r w:rsidRPr="00E27BC2">
        <w:rPr>
          <w:rFonts w:hint="eastAsia"/>
        </w:rPr>
        <w:t>年第</w:t>
      </w:r>
      <w:r w:rsidRPr="00E27BC2">
        <w:t>4</w:t>
      </w:r>
      <w:r w:rsidRPr="00E27BC2">
        <w:rPr>
          <w:rFonts w:hint="eastAsia"/>
        </w:rPr>
        <w:t>期。</w:t>
      </w:r>
    </w:p>
  </w:endnote>
  <w:endnote w:id="9">
    <w:p w:rsidR="007002F8" w:rsidRPr="00E27BC2" w:rsidRDefault="007002F8" w:rsidP="001332B7">
      <w:pPr>
        <w:pStyle w:val="ad"/>
      </w:pPr>
      <w:r w:rsidRPr="00E27BC2">
        <w:endnoteRef/>
      </w:r>
      <w:r w:rsidRPr="00E27BC2">
        <w:t xml:space="preserve"> </w:t>
      </w:r>
      <w:r w:rsidRPr="00E27BC2">
        <w:rPr>
          <w:rFonts w:hint="eastAsia"/>
        </w:rPr>
        <w:t>李銳：《清華簡〈耆夜〉續探》，《中原文化研究》，</w:t>
      </w:r>
      <w:r w:rsidRPr="00E27BC2">
        <w:t xml:space="preserve">2014 </w:t>
      </w:r>
      <w:r w:rsidRPr="00E27BC2">
        <w:rPr>
          <w:rFonts w:hint="eastAsia"/>
        </w:rPr>
        <w:t>年第</w:t>
      </w:r>
      <w:r w:rsidRPr="00E27BC2">
        <w:t>2</w:t>
      </w:r>
      <w:r w:rsidRPr="00E27BC2">
        <w:rPr>
          <w:rFonts w:hint="eastAsia"/>
        </w:rPr>
        <w:t>期。</w:t>
      </w:r>
    </w:p>
  </w:endnote>
  <w:endnote w:id="10">
    <w:p w:rsidR="007002F8" w:rsidRPr="00E27BC2" w:rsidRDefault="007002F8" w:rsidP="001332B7">
      <w:pPr>
        <w:pStyle w:val="ad"/>
      </w:pPr>
      <w:r w:rsidRPr="00E27BC2">
        <w:endnoteRef/>
      </w:r>
      <w:r w:rsidRPr="00E27BC2">
        <w:t xml:space="preserve"> </w:t>
      </w:r>
      <w:r w:rsidRPr="00E27BC2">
        <w:rPr>
          <w:rFonts w:hint="eastAsia"/>
        </w:rPr>
        <w:t>徐在國：《安徽大學藏戰國竹簡〈詩經〉詩序與異文》，《文物》，</w:t>
      </w:r>
      <w:r w:rsidRPr="00E27BC2">
        <w:t>2017</w:t>
      </w:r>
      <w:r w:rsidRPr="00E27BC2">
        <w:rPr>
          <w:rFonts w:hint="eastAsia"/>
        </w:rPr>
        <w:t>年第</w:t>
      </w:r>
      <w:r w:rsidRPr="00E27BC2">
        <w:t>9</w:t>
      </w:r>
      <w:r w:rsidRPr="00E27BC2">
        <w:rPr>
          <w:rFonts w:hint="eastAsia"/>
        </w:rPr>
        <w:t>期。</w:t>
      </w:r>
    </w:p>
  </w:endnote>
  <w:endnote w:id="11">
    <w:p w:rsidR="007002F8" w:rsidRPr="00E27BC2" w:rsidRDefault="007002F8" w:rsidP="001332B7">
      <w:pPr>
        <w:pStyle w:val="ad"/>
      </w:pPr>
      <w:r w:rsidRPr="00E27BC2">
        <w:endnoteRef/>
      </w:r>
      <w:r w:rsidRPr="00E27BC2">
        <w:t>[</w:t>
      </w:r>
      <w:r w:rsidRPr="00E27BC2">
        <w:rPr>
          <w:rFonts w:hint="eastAsia"/>
        </w:rPr>
        <w:t>美</w:t>
      </w:r>
      <w:r w:rsidRPr="00E27BC2">
        <w:t xml:space="preserve">] </w:t>
      </w:r>
      <w:r w:rsidRPr="00E27BC2">
        <w:rPr>
          <w:rFonts w:hint="eastAsia"/>
        </w:rPr>
        <w:t>柯馬丁：《從出土文献談〈詩經</w:t>
      </w:r>
      <w:r w:rsidRPr="00E27BC2">
        <w:t>·</w:t>
      </w:r>
      <w:r w:rsidRPr="00E27BC2">
        <w:rPr>
          <w:rFonts w:hint="eastAsia"/>
        </w:rPr>
        <w:t>國風〉的詮釋問題：以關雎為例》，《中華文史論叢》，</w:t>
      </w:r>
      <w:r w:rsidRPr="00E27BC2">
        <w:t>2008</w:t>
      </w:r>
      <w:r w:rsidRPr="00E27BC2">
        <w:rPr>
          <w:rFonts w:hint="eastAsia"/>
        </w:rPr>
        <w:t>年第</w:t>
      </w:r>
      <w:r w:rsidRPr="00E27BC2">
        <w:t>1</w:t>
      </w:r>
      <w:r w:rsidRPr="00E27BC2">
        <w:rPr>
          <w:rFonts w:hint="eastAsia"/>
        </w:rPr>
        <w:t>期。</w:t>
      </w:r>
    </w:p>
  </w:endnote>
  <w:endnote w:id="12">
    <w:p w:rsidR="007002F8" w:rsidRPr="00E27BC2" w:rsidRDefault="007002F8" w:rsidP="001332B7">
      <w:pPr>
        <w:pStyle w:val="ad"/>
      </w:pPr>
      <w:r w:rsidRPr="00E27BC2">
        <w:endnoteRef/>
      </w:r>
      <w:r w:rsidRPr="00E27BC2">
        <w:t>[</w:t>
      </w:r>
      <w:r w:rsidRPr="00E27BC2">
        <w:rPr>
          <w:rFonts w:hint="eastAsia"/>
        </w:rPr>
        <w:t>清</w:t>
      </w:r>
      <w:r w:rsidRPr="00E27BC2">
        <w:t xml:space="preserve">] </w:t>
      </w:r>
      <w:r w:rsidRPr="00E27BC2">
        <w:rPr>
          <w:rFonts w:hint="eastAsia"/>
        </w:rPr>
        <w:t>王先謙：《詩三家義集疏》，中華書局，</w:t>
      </w:r>
      <w:r w:rsidRPr="00E27BC2">
        <w:t>19897</w:t>
      </w:r>
      <w:r w:rsidRPr="00E27BC2">
        <w:rPr>
          <w:rFonts w:hint="eastAsia"/>
        </w:rPr>
        <w:t>年版，第</w:t>
      </w:r>
      <w:r w:rsidRPr="00E27BC2">
        <w:t>414</w:t>
      </w:r>
      <w:r w:rsidRPr="00E27BC2">
        <w:rPr>
          <w:rFonts w:hint="eastAsia"/>
        </w:rPr>
        <w:t>頁。</w:t>
      </w:r>
    </w:p>
  </w:endnote>
  <w:endnote w:id="13">
    <w:p w:rsidR="007002F8" w:rsidRPr="00E27BC2" w:rsidRDefault="007002F8" w:rsidP="001332B7">
      <w:pPr>
        <w:pStyle w:val="ad"/>
      </w:pPr>
      <w:r w:rsidRPr="00E27BC2">
        <w:endnoteRef/>
      </w:r>
      <w:r w:rsidRPr="00E27BC2">
        <w:t xml:space="preserve"> </w:t>
      </w:r>
      <w:r w:rsidRPr="00E27BC2">
        <w:rPr>
          <w:rFonts w:hint="eastAsia"/>
        </w:rPr>
        <w:t>李學勤：《論清華簡〈耆夜〉的〈蟋蟀〉詩》，《中國文化》，</w:t>
      </w:r>
      <w:r w:rsidRPr="00E27BC2">
        <w:t>2011</w:t>
      </w:r>
      <w:r w:rsidRPr="00E27BC2">
        <w:rPr>
          <w:rFonts w:hint="eastAsia"/>
        </w:rPr>
        <w:t>年第</w:t>
      </w:r>
      <w:r w:rsidRPr="00E27BC2">
        <w:t>1</w:t>
      </w:r>
      <w:r w:rsidRPr="00E27BC2">
        <w:rPr>
          <w:rFonts w:hint="eastAsia"/>
        </w:rPr>
        <w:t>期。</w:t>
      </w:r>
    </w:p>
  </w:endnote>
  <w:endnote w:id="14">
    <w:p w:rsidR="007002F8" w:rsidRPr="00E27BC2" w:rsidRDefault="007002F8" w:rsidP="001332B7">
      <w:pPr>
        <w:pStyle w:val="ad"/>
      </w:pPr>
      <w:r w:rsidRPr="00E27BC2">
        <w:endnoteRef/>
      </w:r>
      <w:r w:rsidRPr="00E27BC2">
        <w:t xml:space="preserve"> </w:t>
      </w:r>
      <w:r w:rsidRPr="00E27BC2">
        <w:rPr>
          <w:rFonts w:hint="eastAsia"/>
        </w:rPr>
        <w:t>季旭升：《清華簡（壹）·〈耆夜〉》研究，《古文字與古代史》（第三輯），臺北：中研院史語所，</w:t>
      </w:r>
      <w:r w:rsidRPr="00E27BC2">
        <w:t>2012</w:t>
      </w:r>
      <w:r w:rsidRPr="00E27BC2">
        <w:rPr>
          <w:rFonts w:hint="eastAsia"/>
        </w:rPr>
        <w:t>年版；劉光勝：《清華簡考論》，《中州學刊》，</w:t>
      </w:r>
      <w:r w:rsidRPr="00E27BC2">
        <w:t>2011</w:t>
      </w:r>
      <w:r w:rsidRPr="00E27BC2">
        <w:rPr>
          <w:rFonts w:hint="eastAsia"/>
        </w:rPr>
        <w:t>年第</w:t>
      </w:r>
      <w:r w:rsidRPr="00E27BC2">
        <w:t>1</w:t>
      </w:r>
      <w:r w:rsidRPr="00E27BC2">
        <w:rPr>
          <w:rFonts w:hint="eastAsia"/>
        </w:rPr>
        <w:t>期；郝貝欽：《清華簡〈耆夜〉整理與研究，天津師範大學碩士學位論文，</w:t>
      </w:r>
      <w:r w:rsidRPr="00E27BC2">
        <w:t>2012</w:t>
      </w:r>
      <w:r w:rsidRPr="00E27BC2">
        <w:rPr>
          <w:rFonts w:hint="eastAsia"/>
        </w:rPr>
        <w:t>年。</w:t>
      </w:r>
    </w:p>
  </w:endnote>
  <w:endnote w:id="15">
    <w:p w:rsidR="007002F8" w:rsidRPr="00E27BC2" w:rsidRDefault="007002F8" w:rsidP="001332B7">
      <w:pPr>
        <w:pStyle w:val="ad"/>
      </w:pPr>
      <w:r w:rsidRPr="00E27BC2">
        <w:endnoteRef/>
      </w:r>
      <w:r w:rsidRPr="00E27BC2">
        <w:t xml:space="preserve"> </w:t>
      </w:r>
      <w:r w:rsidRPr="00E27BC2">
        <w:rPr>
          <w:rFonts w:hint="eastAsia"/>
        </w:rPr>
        <w:t>孫飛燕：《〈蟋蟀〉試讀》，《清華大學學報（哲學社會科學版）》，</w:t>
      </w:r>
      <w:r w:rsidRPr="00E27BC2">
        <w:t>2009</w:t>
      </w:r>
      <w:r w:rsidRPr="00E27BC2">
        <w:rPr>
          <w:rFonts w:hint="eastAsia"/>
        </w:rPr>
        <w:t>年第</w:t>
      </w:r>
      <w:r w:rsidRPr="00E27BC2">
        <w:t>5</w:t>
      </w:r>
      <w:r w:rsidRPr="00E27BC2">
        <w:rPr>
          <w:rFonts w:hint="eastAsia"/>
        </w:rPr>
        <w:t>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Arial Unicode MS"/>
    <w:panose1 w:val="02010609000101010101"/>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Pr="00EF302F" w:rsidRDefault="00BA5289"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B492F">
      <w:rPr>
        <w:sz w:val="18"/>
        <w:szCs w:val="18"/>
      </w:rPr>
      <w:t>6</w:t>
    </w:r>
    <w:r w:rsidRPr="00C01B1F">
      <w:rPr>
        <w:rFonts w:hint="eastAsia"/>
        <w:sz w:val="18"/>
        <w:szCs w:val="18"/>
      </w:rPr>
      <w:t>月</w:t>
    </w:r>
    <w:r w:rsidR="00E27BC2">
      <w:rPr>
        <w:sz w:val="18"/>
        <w:szCs w:val="18"/>
      </w:rPr>
      <w:t>30</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Pr>
        <w:sz w:val="18"/>
        <w:szCs w:val="18"/>
      </w:rPr>
      <w:t>8</w:t>
    </w:r>
    <w:r w:rsidRPr="00C01B1F">
      <w:rPr>
        <w:rFonts w:hint="eastAsia"/>
        <w:sz w:val="18"/>
        <w:szCs w:val="18"/>
      </w:rPr>
      <w:t>年</w:t>
    </w:r>
    <w:r w:rsidR="001B492F">
      <w:rPr>
        <w:sz w:val="18"/>
        <w:szCs w:val="18"/>
      </w:rPr>
      <w:t>6</w:t>
    </w:r>
    <w:r w:rsidRPr="00C01B1F">
      <w:rPr>
        <w:rFonts w:hint="eastAsia"/>
        <w:sz w:val="18"/>
        <w:szCs w:val="18"/>
      </w:rPr>
      <w:t>月</w:t>
    </w:r>
    <w:r w:rsidR="00E27BC2">
      <w:rPr>
        <w:sz w:val="18"/>
        <w:szCs w:val="18"/>
      </w:rPr>
      <w:t>30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693A5D">
      <w:rPr>
        <w:noProof/>
        <w:sz w:val="18"/>
        <w:szCs w:val="18"/>
      </w:rPr>
      <w:t>9</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693A5D">
      <w:rPr>
        <w:noProof/>
        <w:sz w:val="18"/>
        <w:szCs w:val="18"/>
      </w:rPr>
      <w:t>9</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21" w:rsidRDefault="00BA6421" w:rsidP="00CB0024">
      <w:r>
        <w:separator/>
      </w:r>
    </w:p>
  </w:footnote>
  <w:footnote w:type="continuationSeparator" w:id="0">
    <w:p w:rsidR="00BA6421" w:rsidRDefault="00BA6421"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916" w:rsidRDefault="00BA5289" w:rsidP="00EF302F">
    <w:pPr>
      <w:pStyle w:val="af"/>
      <w:spacing w:before="240" w:after="240"/>
      <w:ind w:firstLine="436"/>
    </w:pPr>
    <w:r>
      <w:rPr>
        <w:rFonts w:hint="eastAsia"/>
      </w:rPr>
      <w:t>复旦大学出土文献与古文字研究中心网站论文</w:t>
    </w:r>
  </w:p>
  <w:p w:rsidR="009C5916" w:rsidRPr="00EF302F" w:rsidRDefault="00BA5289" w:rsidP="00EF302F">
    <w:pPr>
      <w:pStyle w:val="af"/>
      <w:spacing w:before="240" w:after="240"/>
      <w:ind w:firstLine="436"/>
    </w:pPr>
    <w:r>
      <w:rPr>
        <w:rFonts w:hint="eastAsia"/>
      </w:rPr>
      <w:t>链接：</w:t>
    </w:r>
    <w:r w:rsidRPr="00032E60">
      <w:t>http://www.</w:t>
    </w:r>
    <w:r w:rsidR="00E27BC2">
      <w:t>gwz.fudan.edu.cn/Web/Show/4270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3.8pt;height:49.8pt;visibility:visible" o:bullet="t">
        <v:imagedata r:id="rId1" o:title=""/>
      </v:shape>
    </w:pict>
  </w:numPicBullet>
  <w:numPicBullet w:numPicBulletId="1">
    <w:pict>
      <v:shape id="_x0000_i1105" type="#_x0000_t75" style="width:21.6pt;height:27.6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7"/>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24"/>
    <w:rsid w:val="000038DD"/>
    <w:rsid w:val="00011970"/>
    <w:rsid w:val="000133A5"/>
    <w:rsid w:val="00017F20"/>
    <w:rsid w:val="00021234"/>
    <w:rsid w:val="00022497"/>
    <w:rsid w:val="00031027"/>
    <w:rsid w:val="00032E60"/>
    <w:rsid w:val="00033997"/>
    <w:rsid w:val="00033F9D"/>
    <w:rsid w:val="00037D45"/>
    <w:rsid w:val="00041E3D"/>
    <w:rsid w:val="00043973"/>
    <w:rsid w:val="00050E7C"/>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6B61"/>
    <w:rsid w:val="000E2C87"/>
    <w:rsid w:val="000E4237"/>
    <w:rsid w:val="000E738A"/>
    <w:rsid w:val="000E7C8B"/>
    <w:rsid w:val="000F28A8"/>
    <w:rsid w:val="000F4BED"/>
    <w:rsid w:val="00102E1C"/>
    <w:rsid w:val="00110B5F"/>
    <w:rsid w:val="00131D4E"/>
    <w:rsid w:val="001332B7"/>
    <w:rsid w:val="001347BB"/>
    <w:rsid w:val="00140894"/>
    <w:rsid w:val="00156D70"/>
    <w:rsid w:val="001641C2"/>
    <w:rsid w:val="00167A7A"/>
    <w:rsid w:val="001938D1"/>
    <w:rsid w:val="00194702"/>
    <w:rsid w:val="001957D4"/>
    <w:rsid w:val="00195BA5"/>
    <w:rsid w:val="00196304"/>
    <w:rsid w:val="0019751F"/>
    <w:rsid w:val="001A02A8"/>
    <w:rsid w:val="001A19B2"/>
    <w:rsid w:val="001A5188"/>
    <w:rsid w:val="001B293E"/>
    <w:rsid w:val="001B3E07"/>
    <w:rsid w:val="001B492F"/>
    <w:rsid w:val="001B682E"/>
    <w:rsid w:val="001B710F"/>
    <w:rsid w:val="001C0EEC"/>
    <w:rsid w:val="001D1713"/>
    <w:rsid w:val="001D427D"/>
    <w:rsid w:val="001F1BFC"/>
    <w:rsid w:val="00211416"/>
    <w:rsid w:val="00216AB7"/>
    <w:rsid w:val="00231125"/>
    <w:rsid w:val="002346A0"/>
    <w:rsid w:val="00237037"/>
    <w:rsid w:val="002372F1"/>
    <w:rsid w:val="00240EAB"/>
    <w:rsid w:val="00243FD0"/>
    <w:rsid w:val="0024748E"/>
    <w:rsid w:val="0027142D"/>
    <w:rsid w:val="0027743E"/>
    <w:rsid w:val="002819AA"/>
    <w:rsid w:val="0028564F"/>
    <w:rsid w:val="00292887"/>
    <w:rsid w:val="002A1D71"/>
    <w:rsid w:val="002A5820"/>
    <w:rsid w:val="002A6194"/>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65AA8"/>
    <w:rsid w:val="00373178"/>
    <w:rsid w:val="00375FA4"/>
    <w:rsid w:val="00376418"/>
    <w:rsid w:val="00377962"/>
    <w:rsid w:val="003804C5"/>
    <w:rsid w:val="00380E0F"/>
    <w:rsid w:val="00382F27"/>
    <w:rsid w:val="003914E2"/>
    <w:rsid w:val="00394082"/>
    <w:rsid w:val="00395D81"/>
    <w:rsid w:val="003A0D1A"/>
    <w:rsid w:val="003C3289"/>
    <w:rsid w:val="003C4800"/>
    <w:rsid w:val="003C4D06"/>
    <w:rsid w:val="003E1354"/>
    <w:rsid w:val="003F604F"/>
    <w:rsid w:val="00403C1D"/>
    <w:rsid w:val="004127DD"/>
    <w:rsid w:val="00420CE9"/>
    <w:rsid w:val="00430178"/>
    <w:rsid w:val="00430CA7"/>
    <w:rsid w:val="00430F52"/>
    <w:rsid w:val="00431BEA"/>
    <w:rsid w:val="00440BE0"/>
    <w:rsid w:val="00445B35"/>
    <w:rsid w:val="004555EF"/>
    <w:rsid w:val="00456FAD"/>
    <w:rsid w:val="004628E8"/>
    <w:rsid w:val="00466A1C"/>
    <w:rsid w:val="00471E95"/>
    <w:rsid w:val="0048364F"/>
    <w:rsid w:val="004860A2"/>
    <w:rsid w:val="004918C3"/>
    <w:rsid w:val="004A2C87"/>
    <w:rsid w:val="004B0D90"/>
    <w:rsid w:val="004B12DE"/>
    <w:rsid w:val="004D1FA3"/>
    <w:rsid w:val="004E6E8E"/>
    <w:rsid w:val="004F62FC"/>
    <w:rsid w:val="00503A9E"/>
    <w:rsid w:val="005051B7"/>
    <w:rsid w:val="0051092B"/>
    <w:rsid w:val="00513092"/>
    <w:rsid w:val="0051587D"/>
    <w:rsid w:val="00515C06"/>
    <w:rsid w:val="0051605E"/>
    <w:rsid w:val="005169A1"/>
    <w:rsid w:val="00517428"/>
    <w:rsid w:val="0052033E"/>
    <w:rsid w:val="005308E6"/>
    <w:rsid w:val="0053295D"/>
    <w:rsid w:val="0053723F"/>
    <w:rsid w:val="00542D51"/>
    <w:rsid w:val="005444A2"/>
    <w:rsid w:val="00546876"/>
    <w:rsid w:val="00560EBB"/>
    <w:rsid w:val="00570DB1"/>
    <w:rsid w:val="00570E9F"/>
    <w:rsid w:val="005755E3"/>
    <w:rsid w:val="005816FB"/>
    <w:rsid w:val="00584AEE"/>
    <w:rsid w:val="005935F3"/>
    <w:rsid w:val="00594347"/>
    <w:rsid w:val="0059627F"/>
    <w:rsid w:val="005A2D63"/>
    <w:rsid w:val="005A419C"/>
    <w:rsid w:val="005B29BC"/>
    <w:rsid w:val="005B69A6"/>
    <w:rsid w:val="005C51B2"/>
    <w:rsid w:val="005D22B2"/>
    <w:rsid w:val="005D2F69"/>
    <w:rsid w:val="005E2C50"/>
    <w:rsid w:val="00602939"/>
    <w:rsid w:val="00610E9E"/>
    <w:rsid w:val="006166C7"/>
    <w:rsid w:val="00620A4F"/>
    <w:rsid w:val="00623408"/>
    <w:rsid w:val="006245DA"/>
    <w:rsid w:val="0062642B"/>
    <w:rsid w:val="0063183B"/>
    <w:rsid w:val="00634446"/>
    <w:rsid w:val="00635FA4"/>
    <w:rsid w:val="00640B39"/>
    <w:rsid w:val="00650E61"/>
    <w:rsid w:val="0065256A"/>
    <w:rsid w:val="00672EC8"/>
    <w:rsid w:val="00682D5D"/>
    <w:rsid w:val="00693A5D"/>
    <w:rsid w:val="006A1B0D"/>
    <w:rsid w:val="006A3F90"/>
    <w:rsid w:val="006B0F0D"/>
    <w:rsid w:val="006B1CF9"/>
    <w:rsid w:val="006B47EE"/>
    <w:rsid w:val="006C6BAA"/>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B0257"/>
    <w:rsid w:val="007B1A80"/>
    <w:rsid w:val="007C4028"/>
    <w:rsid w:val="007C6D48"/>
    <w:rsid w:val="007D776B"/>
    <w:rsid w:val="00805018"/>
    <w:rsid w:val="008114A2"/>
    <w:rsid w:val="008145F2"/>
    <w:rsid w:val="00827BEE"/>
    <w:rsid w:val="008316D6"/>
    <w:rsid w:val="00831C58"/>
    <w:rsid w:val="0083342E"/>
    <w:rsid w:val="008368CB"/>
    <w:rsid w:val="00841AC0"/>
    <w:rsid w:val="00844552"/>
    <w:rsid w:val="0085243E"/>
    <w:rsid w:val="00852FB6"/>
    <w:rsid w:val="00852FD1"/>
    <w:rsid w:val="00857AC9"/>
    <w:rsid w:val="00865714"/>
    <w:rsid w:val="00866FD9"/>
    <w:rsid w:val="008839BB"/>
    <w:rsid w:val="00883E9F"/>
    <w:rsid w:val="00884DD1"/>
    <w:rsid w:val="00886963"/>
    <w:rsid w:val="008875BA"/>
    <w:rsid w:val="0089710F"/>
    <w:rsid w:val="008A3266"/>
    <w:rsid w:val="008A7F84"/>
    <w:rsid w:val="008B1838"/>
    <w:rsid w:val="008B201B"/>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63C8"/>
    <w:rsid w:val="00933EFE"/>
    <w:rsid w:val="00941801"/>
    <w:rsid w:val="00941B6B"/>
    <w:rsid w:val="009477D9"/>
    <w:rsid w:val="00951E3D"/>
    <w:rsid w:val="00962238"/>
    <w:rsid w:val="00964805"/>
    <w:rsid w:val="00970316"/>
    <w:rsid w:val="00970D12"/>
    <w:rsid w:val="0097125F"/>
    <w:rsid w:val="00977A96"/>
    <w:rsid w:val="00986333"/>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303C4"/>
    <w:rsid w:val="00A33350"/>
    <w:rsid w:val="00A35CE6"/>
    <w:rsid w:val="00A4525C"/>
    <w:rsid w:val="00A52734"/>
    <w:rsid w:val="00A553B6"/>
    <w:rsid w:val="00A60B6E"/>
    <w:rsid w:val="00A626FC"/>
    <w:rsid w:val="00A63856"/>
    <w:rsid w:val="00A710B2"/>
    <w:rsid w:val="00A71884"/>
    <w:rsid w:val="00A72999"/>
    <w:rsid w:val="00A7444E"/>
    <w:rsid w:val="00A76F1D"/>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F479D"/>
    <w:rsid w:val="00AF635B"/>
    <w:rsid w:val="00AF75C8"/>
    <w:rsid w:val="00B00EE9"/>
    <w:rsid w:val="00B030E6"/>
    <w:rsid w:val="00B059FD"/>
    <w:rsid w:val="00B07332"/>
    <w:rsid w:val="00B20E51"/>
    <w:rsid w:val="00B23528"/>
    <w:rsid w:val="00B27C68"/>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4771"/>
    <w:rsid w:val="00BA4E68"/>
    <w:rsid w:val="00BA5289"/>
    <w:rsid w:val="00BA6421"/>
    <w:rsid w:val="00BB017B"/>
    <w:rsid w:val="00BC126B"/>
    <w:rsid w:val="00BD4E67"/>
    <w:rsid w:val="00BE148F"/>
    <w:rsid w:val="00BE5AA8"/>
    <w:rsid w:val="00BF358E"/>
    <w:rsid w:val="00BF5F1D"/>
    <w:rsid w:val="00C037A6"/>
    <w:rsid w:val="00C03F8A"/>
    <w:rsid w:val="00C200D7"/>
    <w:rsid w:val="00C217A0"/>
    <w:rsid w:val="00C36956"/>
    <w:rsid w:val="00C40577"/>
    <w:rsid w:val="00C43658"/>
    <w:rsid w:val="00C46047"/>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D00583"/>
    <w:rsid w:val="00D12835"/>
    <w:rsid w:val="00D14104"/>
    <w:rsid w:val="00D24914"/>
    <w:rsid w:val="00D40B52"/>
    <w:rsid w:val="00D54453"/>
    <w:rsid w:val="00D556BF"/>
    <w:rsid w:val="00D60710"/>
    <w:rsid w:val="00D61798"/>
    <w:rsid w:val="00D62CB1"/>
    <w:rsid w:val="00D67634"/>
    <w:rsid w:val="00D71F81"/>
    <w:rsid w:val="00D726F9"/>
    <w:rsid w:val="00D756A9"/>
    <w:rsid w:val="00D84579"/>
    <w:rsid w:val="00D859D5"/>
    <w:rsid w:val="00D91E89"/>
    <w:rsid w:val="00D94D4A"/>
    <w:rsid w:val="00DA17FB"/>
    <w:rsid w:val="00DA2027"/>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7BC2"/>
    <w:rsid w:val="00E330F9"/>
    <w:rsid w:val="00E3579F"/>
    <w:rsid w:val="00E37814"/>
    <w:rsid w:val="00E415C5"/>
    <w:rsid w:val="00E53B98"/>
    <w:rsid w:val="00E74B97"/>
    <w:rsid w:val="00E768A0"/>
    <w:rsid w:val="00E84361"/>
    <w:rsid w:val="00E84A0C"/>
    <w:rsid w:val="00E90438"/>
    <w:rsid w:val="00EA236B"/>
    <w:rsid w:val="00EA7776"/>
    <w:rsid w:val="00EB330F"/>
    <w:rsid w:val="00EB7229"/>
    <w:rsid w:val="00EC15D3"/>
    <w:rsid w:val="00ED01D0"/>
    <w:rsid w:val="00ED2E6F"/>
    <w:rsid w:val="00ED4220"/>
    <w:rsid w:val="00ED7DB3"/>
    <w:rsid w:val="00EE0568"/>
    <w:rsid w:val="00EE528D"/>
    <w:rsid w:val="00EE6C33"/>
    <w:rsid w:val="00EE6DB8"/>
    <w:rsid w:val="00EF0E85"/>
    <w:rsid w:val="00EF2B6D"/>
    <w:rsid w:val="00EF302F"/>
    <w:rsid w:val="00F00938"/>
    <w:rsid w:val="00F02015"/>
    <w:rsid w:val="00F06B67"/>
    <w:rsid w:val="00F10AFC"/>
    <w:rsid w:val="00F27D53"/>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6F6CC3"/>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6023-827F-4465-A85F-92475957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9</Pages>
  <Words>582</Words>
  <Characters>3324</Characters>
  <Application>Microsoft Office Word</Application>
  <DocSecurity>0</DocSecurity>
  <Lines>27</Lines>
  <Paragraphs>7</Paragraphs>
  <ScaleCrop>false</ScaleCrop>
  <Company>GWZ</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hp</cp:lastModifiedBy>
  <cp:revision>78</cp:revision>
  <dcterms:created xsi:type="dcterms:W3CDTF">2018-01-27T09:07:00Z</dcterms:created>
  <dcterms:modified xsi:type="dcterms:W3CDTF">2018-06-30T02:16:00Z</dcterms:modified>
</cp:coreProperties>
</file>