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295" w:rsidRPr="00596EFC" w:rsidRDefault="00596EFC" w:rsidP="00596EFC">
      <w:pPr>
        <w:pStyle w:val="afd"/>
      </w:pPr>
      <w:bookmarkStart w:id="0" w:name="OLE_LINK1"/>
      <w:r w:rsidRPr="00596EFC">
        <w:t>王充论〝投之于地〞及磁石</w:t>
      </w:r>
      <w:proofErr w:type="gramStart"/>
      <w:r w:rsidRPr="00596EFC">
        <w:t>勺说献疑</w:t>
      </w:r>
      <w:proofErr w:type="gramEnd"/>
    </w:p>
    <w:p w:rsidR="00075295" w:rsidRPr="00075295" w:rsidRDefault="00075295" w:rsidP="00075295">
      <w:pPr>
        <w:pStyle w:val="afd"/>
      </w:pPr>
    </w:p>
    <w:p w:rsidR="00075295" w:rsidRPr="00075295" w:rsidRDefault="00075295" w:rsidP="00075295">
      <w:pPr>
        <w:pStyle w:val="afd"/>
        <w:jc w:val="left"/>
        <w:rPr>
          <w:rFonts w:ascii="Times New Roman" w:eastAsia="Times New Roman" w:hAnsi="Times New Roman"/>
          <w:b w:val="0"/>
          <w:color w:val="333333"/>
          <w:kern w:val="0"/>
          <w:sz w:val="28"/>
          <w:szCs w:val="28"/>
          <w:lang w:eastAsia="ar-SA"/>
        </w:rPr>
      </w:pPr>
      <w:r w:rsidRPr="00075295">
        <w:rPr>
          <w:rFonts w:ascii="Times New Roman" w:eastAsia="Times New Roman" w:hAnsi="Times New Roman"/>
          <w:b w:val="0"/>
          <w:color w:val="333333"/>
          <w:kern w:val="0"/>
          <w:sz w:val="28"/>
          <w:szCs w:val="28"/>
          <w:lang w:eastAsia="ar-SA"/>
        </w:rPr>
        <w:t>Wang</w:t>
      </w:r>
      <w:r w:rsidRPr="00075295">
        <w:t xml:space="preserve"> </w:t>
      </w:r>
      <w:r w:rsidRPr="00075295">
        <w:rPr>
          <w:rFonts w:ascii="Times New Roman" w:eastAsia="Times New Roman" w:hAnsi="Times New Roman"/>
          <w:b w:val="0"/>
          <w:color w:val="333333"/>
          <w:kern w:val="0"/>
          <w:sz w:val="28"/>
          <w:szCs w:val="28"/>
          <w:lang w:eastAsia="ar-SA"/>
        </w:rPr>
        <w:t xml:space="preserve">Chong's </w:t>
      </w:r>
      <w:proofErr w:type="spellStart"/>
      <w:r w:rsidRPr="00075295">
        <w:rPr>
          <w:rFonts w:ascii="Times New Roman" w:eastAsia="Times New Roman" w:hAnsi="Times New Roman"/>
          <w:b w:val="0"/>
          <w:color w:val="333333"/>
          <w:kern w:val="0"/>
          <w:sz w:val="28"/>
          <w:szCs w:val="28"/>
          <w:lang w:eastAsia="ar-SA"/>
        </w:rPr>
        <w:t>explaination</w:t>
      </w:r>
      <w:proofErr w:type="spellEnd"/>
      <w:r w:rsidRPr="00075295">
        <w:rPr>
          <w:rFonts w:ascii="Times New Roman" w:eastAsia="Times New Roman" w:hAnsi="Times New Roman"/>
          <w:b w:val="0"/>
          <w:color w:val="333333"/>
          <w:kern w:val="0"/>
          <w:sz w:val="28"/>
          <w:szCs w:val="28"/>
          <w:lang w:eastAsia="ar-SA"/>
        </w:rPr>
        <w:t xml:space="preserve"> of the meaning of phrase “</w:t>
      </w:r>
      <w:proofErr w:type="spellStart"/>
      <w:r w:rsidRPr="00075295">
        <w:rPr>
          <w:rFonts w:ascii="Times New Roman" w:eastAsia="Times New Roman" w:hAnsi="Times New Roman"/>
          <w:b w:val="0"/>
          <w:color w:val="333333"/>
          <w:kern w:val="0"/>
          <w:sz w:val="28"/>
          <w:szCs w:val="28"/>
          <w:lang w:eastAsia="ar-SA"/>
        </w:rPr>
        <w:t>Tou</w:t>
      </w:r>
      <w:proofErr w:type="spellEnd"/>
      <w:r w:rsidRPr="00075295">
        <w:rPr>
          <w:rFonts w:ascii="Times New Roman" w:eastAsia="Times New Roman" w:hAnsi="Times New Roman"/>
          <w:b w:val="0"/>
          <w:color w:val="333333"/>
          <w:kern w:val="0"/>
          <w:sz w:val="28"/>
          <w:szCs w:val="28"/>
          <w:lang w:eastAsia="ar-SA"/>
        </w:rPr>
        <w:t xml:space="preserve"> </w:t>
      </w:r>
      <w:proofErr w:type="spellStart"/>
      <w:r w:rsidRPr="00075295">
        <w:rPr>
          <w:rFonts w:ascii="Times New Roman" w:eastAsia="Times New Roman" w:hAnsi="Times New Roman"/>
          <w:b w:val="0"/>
          <w:color w:val="333333"/>
          <w:kern w:val="0"/>
          <w:sz w:val="28"/>
          <w:szCs w:val="28"/>
          <w:lang w:eastAsia="ar-SA"/>
        </w:rPr>
        <w:t>zhi</w:t>
      </w:r>
      <w:proofErr w:type="spellEnd"/>
      <w:r w:rsidRPr="00075295">
        <w:rPr>
          <w:rFonts w:ascii="Times New Roman" w:eastAsia="Times New Roman" w:hAnsi="Times New Roman"/>
          <w:b w:val="0"/>
          <w:color w:val="333333"/>
          <w:kern w:val="0"/>
          <w:sz w:val="28"/>
          <w:szCs w:val="28"/>
          <w:lang w:eastAsia="ar-SA"/>
        </w:rPr>
        <w:t xml:space="preserve"> </w:t>
      </w:r>
      <w:proofErr w:type="spellStart"/>
      <w:r w:rsidRPr="00075295">
        <w:rPr>
          <w:rFonts w:ascii="Times New Roman" w:eastAsia="Times New Roman" w:hAnsi="Times New Roman"/>
          <w:b w:val="0"/>
          <w:color w:val="333333"/>
          <w:kern w:val="0"/>
          <w:sz w:val="28"/>
          <w:szCs w:val="28"/>
          <w:lang w:eastAsia="ar-SA"/>
        </w:rPr>
        <w:t>yu</w:t>
      </w:r>
      <w:proofErr w:type="spellEnd"/>
      <w:r w:rsidRPr="00075295">
        <w:rPr>
          <w:rFonts w:ascii="Times New Roman" w:eastAsia="Times New Roman" w:hAnsi="Times New Roman"/>
          <w:b w:val="0"/>
          <w:color w:val="333333"/>
          <w:kern w:val="0"/>
          <w:sz w:val="28"/>
          <w:szCs w:val="28"/>
          <w:lang w:eastAsia="ar-SA"/>
        </w:rPr>
        <w:t xml:space="preserve"> de</w:t>
      </w:r>
      <w:r w:rsidRPr="00075295">
        <w:rPr>
          <w:rFonts w:ascii="宋体" w:cs="宋体" w:hint="eastAsia"/>
          <w:b w:val="0"/>
          <w:color w:val="333333"/>
          <w:kern w:val="0"/>
          <w:sz w:val="28"/>
          <w:szCs w:val="28"/>
          <w:lang w:eastAsia="ar-SA"/>
        </w:rPr>
        <w:t>投之于地</w:t>
      </w:r>
      <w:r w:rsidRPr="00075295">
        <w:rPr>
          <w:rFonts w:ascii="Times New Roman" w:eastAsia="Times New Roman" w:hAnsi="Times New Roman"/>
          <w:b w:val="0"/>
          <w:color w:val="333333"/>
          <w:kern w:val="0"/>
          <w:sz w:val="28"/>
          <w:szCs w:val="28"/>
          <w:lang w:eastAsia="ar-SA"/>
        </w:rPr>
        <w:t>” and the questionable loadstone spoon.</w:t>
      </w:r>
    </w:p>
    <w:p w:rsidR="00075295" w:rsidRPr="00075295" w:rsidRDefault="00075295" w:rsidP="00075295"/>
    <w:p w:rsidR="00075295" w:rsidRDefault="00075295" w:rsidP="00075295">
      <w:pPr>
        <w:pStyle w:val="afe"/>
      </w:pPr>
      <w:r>
        <w:rPr>
          <w:rFonts w:hint="eastAsia"/>
        </w:rPr>
        <w:t>（首發）</w:t>
      </w:r>
    </w:p>
    <w:p w:rsidR="00075295" w:rsidRPr="00075295" w:rsidRDefault="00075295" w:rsidP="00075295">
      <w:pPr>
        <w:pStyle w:val="afe"/>
      </w:pPr>
      <w:r w:rsidRPr="00075295">
        <w:t>闻人军</w:t>
      </w:r>
    </w:p>
    <w:p w:rsidR="00075295" w:rsidRPr="00075295" w:rsidRDefault="00075295" w:rsidP="00075295"/>
    <w:p w:rsidR="00075295" w:rsidRPr="00075295" w:rsidRDefault="00075295" w:rsidP="00075295">
      <w:pPr>
        <w:pStyle w:val="afc"/>
        <w:ind w:firstLineChars="0" w:firstLine="0"/>
        <w:jc w:val="center"/>
        <w:rPr>
          <w:b/>
        </w:rPr>
      </w:pPr>
      <w:r w:rsidRPr="00075295">
        <w:rPr>
          <w:b/>
        </w:rPr>
        <w:t>提要</w:t>
      </w:r>
    </w:p>
    <w:p w:rsidR="00075295" w:rsidRPr="00075295" w:rsidRDefault="00075295" w:rsidP="00075295">
      <w:pPr>
        <w:pStyle w:val="afc"/>
        <w:ind w:firstLine="560"/>
      </w:pPr>
    </w:p>
    <w:p w:rsidR="00075295" w:rsidRPr="00075295" w:rsidRDefault="00075295" w:rsidP="00075295">
      <w:pPr>
        <w:pStyle w:val="afc"/>
        <w:ind w:firstLine="560"/>
      </w:pPr>
      <w:r w:rsidRPr="00075295">
        <w:t>王充《</w:t>
      </w:r>
      <w:r w:rsidRPr="00075295">
        <w:rPr>
          <w:rFonts w:hint="eastAsia"/>
        </w:rPr>
        <w:t>论</w:t>
      </w:r>
      <w:r w:rsidRPr="00075295">
        <w:t>衡</w:t>
      </w:r>
      <w:r w:rsidRPr="00075295">
        <w:rPr>
          <w:rFonts w:hint="eastAsia"/>
        </w:rPr>
        <w:t>·</w:t>
      </w:r>
      <w:r w:rsidRPr="00075295">
        <w:t>是应篇》曰：〝</w:t>
      </w:r>
      <w:r w:rsidRPr="00075295">
        <w:rPr>
          <w:rFonts w:hint="eastAsia"/>
        </w:rPr>
        <w:t>司南之酌，投之于地，其</w:t>
      </w:r>
      <w:proofErr w:type="gramStart"/>
      <w:r w:rsidRPr="00075295">
        <w:rPr>
          <w:rFonts w:hint="eastAsia"/>
        </w:rPr>
        <w:t>柢</w:t>
      </w:r>
      <w:proofErr w:type="gramEnd"/>
      <w:r w:rsidRPr="00075295">
        <w:rPr>
          <w:rFonts w:hint="eastAsia"/>
        </w:rPr>
        <w:t>指南；鱼肉之虫，集地北行。天性然也。”学术界对此〝司南〞众说纷纭，除了〝</w:t>
      </w:r>
      <w:proofErr w:type="gramStart"/>
      <w:r w:rsidRPr="00075295">
        <w:rPr>
          <w:rFonts w:hint="eastAsia"/>
        </w:rPr>
        <w:t>杓</w:t>
      </w:r>
      <w:proofErr w:type="gramEnd"/>
      <w:r w:rsidRPr="00075295">
        <w:rPr>
          <w:rFonts w:hint="eastAsia"/>
        </w:rPr>
        <w:t>〞、〝酌〞两字有争议外，一个重要的原因是不明〝投之于地〞之意。《论衡·状留篇》曰：〝且</w:t>
      </w:r>
      <w:proofErr w:type="gramStart"/>
      <w:r w:rsidRPr="00075295">
        <w:rPr>
          <w:rFonts w:hint="eastAsia"/>
        </w:rPr>
        <w:t>圆物投</w:t>
      </w:r>
      <w:proofErr w:type="gramEnd"/>
      <w:r w:rsidRPr="00075295">
        <w:rPr>
          <w:rFonts w:hint="eastAsia"/>
        </w:rPr>
        <w:t>之于地，东西南北，无之不可，策杖叩动，</w:t>
      </w:r>
      <w:proofErr w:type="gramStart"/>
      <w:r w:rsidRPr="00075295">
        <w:rPr>
          <w:rFonts w:hint="eastAsia"/>
        </w:rPr>
        <w:t>才微</w:t>
      </w:r>
      <w:proofErr w:type="gramEnd"/>
      <w:r w:rsidRPr="00075295">
        <w:rPr>
          <w:rFonts w:hint="eastAsia"/>
        </w:rPr>
        <w:t>辄停。方物集地，</w:t>
      </w:r>
      <w:proofErr w:type="gramStart"/>
      <w:r w:rsidRPr="00075295">
        <w:rPr>
          <w:rFonts w:hint="eastAsia"/>
        </w:rPr>
        <w:t>壹投而</w:t>
      </w:r>
      <w:proofErr w:type="gramEnd"/>
      <w:r w:rsidRPr="00075295">
        <w:rPr>
          <w:rFonts w:hint="eastAsia"/>
        </w:rPr>
        <w:t>止，及其移徙，须人动举。〞(圆球放在平地上【可能滚向任何方向】，东西南北各个方向都有可能。用棍子轻敲扰动，才稍微滚一下，圆球就又停下。方块下地，</w:t>
      </w:r>
      <w:proofErr w:type="gramStart"/>
      <w:r w:rsidRPr="00075295">
        <w:rPr>
          <w:rFonts w:hint="eastAsia"/>
        </w:rPr>
        <w:t>一</w:t>
      </w:r>
      <w:proofErr w:type="gramEnd"/>
      <w:r w:rsidRPr="00075295">
        <w:rPr>
          <w:rFonts w:hint="eastAsia"/>
        </w:rPr>
        <w:t>放下就停住了。要想改变它的位置，必须人力移动。)王充在《状留篇》和《是应篇》篇中都用〝投之于地〞和〝集地〞对举，两</w:t>
      </w:r>
      <w:r w:rsidRPr="00075295">
        <w:rPr>
          <w:rFonts w:hint="eastAsia"/>
        </w:rPr>
        <w:lastRenderedPageBreak/>
        <w:t>个〝投之于地〞的含义相同，即放在地上。王充本人对〝投之于地〞的明确诠释，为正确释读司南句和检验</w:t>
      </w:r>
      <w:proofErr w:type="gramStart"/>
      <w:r w:rsidRPr="00075295">
        <w:rPr>
          <w:rFonts w:hint="eastAsia"/>
        </w:rPr>
        <w:t>磁石勺说提供</w:t>
      </w:r>
      <w:proofErr w:type="gramEnd"/>
      <w:r w:rsidRPr="00075295">
        <w:rPr>
          <w:rFonts w:hint="eastAsia"/>
        </w:rPr>
        <w:t>了又一重要依据。</w:t>
      </w:r>
    </w:p>
    <w:p w:rsidR="00075295" w:rsidRPr="00075295" w:rsidRDefault="00075295" w:rsidP="00075295"/>
    <w:p w:rsidR="00075295" w:rsidRPr="00075295" w:rsidRDefault="00075295" w:rsidP="00075295">
      <w:pPr>
        <w:pStyle w:val="afc"/>
        <w:ind w:firstLineChars="0" w:firstLine="0"/>
        <w:rPr>
          <w:b/>
        </w:rPr>
      </w:pPr>
      <w:r w:rsidRPr="00075295">
        <w:rPr>
          <w:b/>
        </w:rPr>
        <w:t>关键词</w:t>
      </w:r>
    </w:p>
    <w:p w:rsidR="00075295" w:rsidRPr="00075295" w:rsidRDefault="00075295" w:rsidP="00075295">
      <w:pPr>
        <w:pStyle w:val="afc"/>
        <w:ind w:firstLineChars="0" w:firstLine="0"/>
      </w:pPr>
      <w:r w:rsidRPr="00075295">
        <w:t>《</w:t>
      </w:r>
      <w:r w:rsidRPr="00075295">
        <w:rPr>
          <w:rFonts w:hint="eastAsia"/>
        </w:rPr>
        <w:t>论</w:t>
      </w:r>
      <w:r w:rsidRPr="00075295">
        <w:t>衡》司南</w:t>
      </w:r>
      <w:r w:rsidRPr="00075295">
        <w:rPr>
          <w:rFonts w:hint="eastAsia"/>
        </w:rPr>
        <w:t xml:space="preserve"> 司南酌 磁石勺 投 地 地盘</w:t>
      </w:r>
    </w:p>
    <w:p w:rsidR="00075295" w:rsidRPr="00075295" w:rsidRDefault="00075295" w:rsidP="00075295">
      <w:pPr>
        <w:pStyle w:val="afc"/>
        <w:ind w:firstLine="560"/>
      </w:pPr>
      <w:r w:rsidRPr="00075295">
        <w:t>王充《</w:t>
      </w:r>
      <w:r w:rsidRPr="00075295">
        <w:rPr>
          <w:rFonts w:hint="eastAsia"/>
        </w:rPr>
        <w:t>论</w:t>
      </w:r>
      <w:r w:rsidRPr="00075295">
        <w:t>衡</w:t>
      </w:r>
      <w:r w:rsidRPr="00075295">
        <w:rPr>
          <w:rFonts w:hint="eastAsia"/>
        </w:rPr>
        <w:t>·</w:t>
      </w:r>
      <w:r w:rsidRPr="00075295">
        <w:t>是应篇》中的</w:t>
      </w:r>
      <w:r w:rsidRPr="00075295">
        <w:rPr>
          <w:rFonts w:hint="eastAsia"/>
        </w:rPr>
        <w:t>重要</w:t>
      </w:r>
      <w:r w:rsidRPr="00075295">
        <w:t>司南史料(〝</w:t>
      </w:r>
      <w:r w:rsidRPr="00075295">
        <w:rPr>
          <w:rFonts w:hint="eastAsia"/>
        </w:rPr>
        <w:t>司南之酌，投之于地，其</w:t>
      </w:r>
      <w:proofErr w:type="gramStart"/>
      <w:r w:rsidRPr="00075295">
        <w:rPr>
          <w:rFonts w:hint="eastAsia"/>
        </w:rPr>
        <w:t>柢</w:t>
      </w:r>
      <w:proofErr w:type="gramEnd"/>
      <w:r w:rsidRPr="00075295">
        <w:rPr>
          <w:rFonts w:hint="eastAsia"/>
        </w:rPr>
        <w:t>指南〞)</w:t>
      </w:r>
      <w:r w:rsidRPr="00075295">
        <w:t>，学术界讨论多年。2015年，笔者指出《</w:t>
      </w:r>
      <w:r w:rsidRPr="00075295">
        <w:rPr>
          <w:rFonts w:hint="eastAsia"/>
        </w:rPr>
        <w:t>论</w:t>
      </w:r>
      <w:r w:rsidRPr="00075295">
        <w:t>衡》司南乃是</w:t>
      </w:r>
      <w:r w:rsidRPr="00075295">
        <w:rPr>
          <w:rFonts w:hint="eastAsia"/>
        </w:rPr>
        <w:t>天性指南的水</w:t>
      </w:r>
      <w:proofErr w:type="gramStart"/>
      <w:r w:rsidRPr="00075295">
        <w:rPr>
          <w:rFonts w:hint="eastAsia"/>
        </w:rPr>
        <w:t>浮式</w:t>
      </w:r>
      <w:r w:rsidRPr="00075295">
        <w:t>瓢针司南</w:t>
      </w:r>
      <w:proofErr w:type="gramEnd"/>
      <w:r w:rsidRPr="00075295">
        <w:t>酌。</w:t>
      </w:r>
      <w:r w:rsidRPr="00075295">
        <w:rPr>
          <w:rFonts w:hint="eastAsia"/>
        </w:rPr>
        <w:endnoteReference w:id="1"/>
      </w:r>
      <w:r w:rsidRPr="00075295">
        <w:rPr>
          <w:rFonts w:hint="eastAsia"/>
        </w:rPr>
        <w:t xml:space="preserve"> </w:t>
      </w:r>
      <w:r w:rsidRPr="00075295">
        <w:t>随后，又指出</w:t>
      </w:r>
      <w:proofErr w:type="gramStart"/>
      <w:r w:rsidRPr="00075295">
        <w:t>瓢针司南酌与</w:t>
      </w:r>
      <w:proofErr w:type="gramEnd"/>
      <w:r w:rsidRPr="00075295">
        <w:t>指南鱼及宋元针</w:t>
      </w:r>
      <w:proofErr w:type="gramStart"/>
      <w:r w:rsidRPr="00075295">
        <w:t>碗浮针</w:t>
      </w:r>
      <w:proofErr w:type="gramEnd"/>
      <w:r w:rsidRPr="00075295">
        <w:t>的传承关系。</w:t>
      </w:r>
      <w:r w:rsidRPr="00075295">
        <w:rPr>
          <w:rFonts w:hint="eastAsia"/>
        </w:rPr>
        <w:endnoteReference w:id="2"/>
      </w:r>
      <w:r w:rsidRPr="00075295">
        <w:rPr>
          <w:rFonts w:hint="eastAsia"/>
        </w:rPr>
        <w:t xml:space="preserve"> 接着，作了版本考证，确认</w:t>
      </w:r>
      <w:r w:rsidRPr="00075295">
        <w:t>〝</w:t>
      </w:r>
      <w:r w:rsidRPr="00075295">
        <w:rPr>
          <w:rFonts w:hint="eastAsia"/>
        </w:rPr>
        <w:t>司南之酌〞；并提供文物和新的文献证据。(参见后文)在此基础上，本文提供释读司南句的又一重要依据，即王充本人对〝投之于地〞的明确诠释，以进一步的论据就正于学术界。</w:t>
      </w:r>
    </w:p>
    <w:p w:rsidR="00075295" w:rsidRPr="00075295" w:rsidRDefault="00075295" w:rsidP="00075295">
      <w:pPr>
        <w:pStyle w:val="afc"/>
        <w:ind w:firstLine="560"/>
      </w:pPr>
    </w:p>
    <w:p w:rsidR="00075295" w:rsidRPr="00075295" w:rsidRDefault="00075295" w:rsidP="00075295">
      <w:pPr>
        <w:pStyle w:val="afc"/>
        <w:ind w:firstLineChars="0" w:firstLine="0"/>
        <w:jc w:val="left"/>
        <w:rPr>
          <w:b/>
        </w:rPr>
      </w:pPr>
      <w:r w:rsidRPr="00075295">
        <w:rPr>
          <w:rFonts w:hint="eastAsia"/>
          <w:b/>
        </w:rPr>
        <w:t>1）《论衡》司南研究概况</w:t>
      </w:r>
    </w:p>
    <w:p w:rsidR="00075295" w:rsidRPr="00075295" w:rsidRDefault="00075295" w:rsidP="00075295">
      <w:pPr>
        <w:pStyle w:val="afc"/>
        <w:ind w:firstLine="560"/>
      </w:pPr>
      <w:r w:rsidRPr="00075295">
        <w:rPr>
          <w:rFonts w:hint="eastAsia"/>
        </w:rPr>
        <w:t>司南一词多义。《论衡》〝司南〞事关磁性指向器的发明，历来为学术界所重视，也是近年讨论研究的热点之一。就主要观点来说，目前有磁石勺、北斗、指南车、水浮司南等不同看法。</w:t>
      </w:r>
    </w:p>
    <w:p w:rsidR="00075295" w:rsidRPr="00075295" w:rsidRDefault="00075295" w:rsidP="00075295">
      <w:pPr>
        <w:pStyle w:val="afc"/>
        <w:ind w:firstLine="560"/>
      </w:pPr>
      <w:r w:rsidRPr="00075295">
        <w:rPr>
          <w:rFonts w:hint="eastAsia"/>
        </w:rPr>
        <w:t>旧说以为《论衡》司南是司南车。1928年张荫麟指出《论衡》司南〝观其构造及作用，恰如今之指南针。盖其器如勺，投之于地，</w:t>
      </w:r>
      <w:proofErr w:type="gramStart"/>
      <w:r w:rsidRPr="00075295">
        <w:rPr>
          <w:rFonts w:hint="eastAsia"/>
        </w:rPr>
        <w:t>杓</w:t>
      </w:r>
      <w:proofErr w:type="gramEnd"/>
      <w:r w:rsidRPr="00075295">
        <w:rPr>
          <w:rFonts w:hint="eastAsia"/>
        </w:rPr>
        <w:lastRenderedPageBreak/>
        <w:t>(柄)不着地，故能旋转自如，指其所趋之方向也。〞</w:t>
      </w:r>
      <w:r w:rsidRPr="00075295">
        <w:rPr>
          <w:rFonts w:hint="eastAsia"/>
        </w:rPr>
        <w:endnoteReference w:id="3"/>
      </w:r>
      <w:r w:rsidRPr="00075295">
        <w:rPr>
          <w:rFonts w:hint="eastAsia"/>
        </w:rPr>
        <w:t xml:space="preserve"> 上世纪四十年代起，王振铎认为司南是磁石勺，提出了磁石勺-铜质地盘复原方案，并作了相应的复原试验。</w:t>
      </w:r>
      <w:r w:rsidRPr="00075295">
        <w:rPr>
          <w:rFonts w:hint="eastAsia"/>
        </w:rPr>
        <w:endnoteReference w:id="4"/>
      </w:r>
      <w:r w:rsidRPr="00075295">
        <w:rPr>
          <w:rFonts w:hint="eastAsia"/>
        </w:rPr>
        <w:t>此说把〝投之于地〞之〝地〞释为式盘的地盘，影响甚大。林文照、戴念祖、</w:t>
      </w:r>
      <w:proofErr w:type="gramStart"/>
      <w:r w:rsidRPr="00075295">
        <w:rPr>
          <w:rFonts w:hint="eastAsia"/>
        </w:rPr>
        <w:t>潘</w:t>
      </w:r>
      <w:proofErr w:type="gramEnd"/>
      <w:r w:rsidRPr="00075295">
        <w:rPr>
          <w:rFonts w:hint="eastAsia"/>
        </w:rPr>
        <w:t>吉星等各自验证或改进王振铎的模型，陆续发表的专著或论文中，都是把〝投之于地〞之〝地〞释为地盘。刘秉正、刘亦未等多年来坚持认为《论衡》司南不是磁性指向器而是北斗。</w:t>
      </w:r>
      <w:r w:rsidRPr="00075295">
        <w:rPr>
          <w:rFonts w:hint="eastAsia"/>
        </w:rPr>
        <w:endnoteReference w:id="5"/>
      </w:r>
      <w:r w:rsidRPr="00075295">
        <w:rPr>
          <w:rFonts w:hint="eastAsia"/>
        </w:rPr>
        <w:t xml:space="preserve">  1979年，北京大学历史系《论衡》注释小组的《论衡注释》说：〝司南之</w:t>
      </w:r>
      <w:proofErr w:type="gramStart"/>
      <w:r w:rsidRPr="00075295">
        <w:rPr>
          <w:rFonts w:hint="eastAsia"/>
        </w:rPr>
        <w:t>杓</w:t>
      </w:r>
      <w:proofErr w:type="gramEnd"/>
      <w:r w:rsidRPr="00075295">
        <w:rPr>
          <w:rFonts w:hint="eastAsia"/>
        </w:rPr>
        <w:t>：古代一种辨别方向的仪器，原理和指南针相同，用磁铁制的小勺放在方盘上，勺柄指南。〞</w:t>
      </w:r>
      <w:r w:rsidRPr="00075295">
        <w:rPr>
          <w:rFonts w:hint="eastAsia"/>
        </w:rPr>
        <w:endnoteReference w:id="6"/>
      </w:r>
      <w:r w:rsidRPr="00075295">
        <w:rPr>
          <w:rFonts w:hint="eastAsia"/>
        </w:rPr>
        <w:t xml:space="preserve"> 1993年，袁华忠、</w:t>
      </w:r>
      <w:proofErr w:type="gramStart"/>
      <w:r w:rsidRPr="00075295">
        <w:rPr>
          <w:rFonts w:hint="eastAsia"/>
        </w:rPr>
        <w:t>方家常</w:t>
      </w:r>
      <w:proofErr w:type="gramEnd"/>
      <w:r w:rsidRPr="00075295">
        <w:rPr>
          <w:rFonts w:hint="eastAsia"/>
        </w:rPr>
        <w:t>译注的《论衡全译》中，译司南句为〝司南之杓，把它放在地上，它</w:t>
      </w:r>
      <w:proofErr w:type="gramStart"/>
      <w:r w:rsidRPr="00075295">
        <w:rPr>
          <w:rFonts w:hint="eastAsia"/>
        </w:rPr>
        <w:t>的柄能指</w:t>
      </w:r>
      <w:proofErr w:type="gramEnd"/>
      <w:r w:rsidRPr="00075295">
        <w:rPr>
          <w:rFonts w:hint="eastAsia"/>
        </w:rPr>
        <w:t>向南方。〞</w:t>
      </w:r>
      <w:r w:rsidRPr="00075295">
        <w:rPr>
          <w:rFonts w:hint="eastAsia"/>
        </w:rPr>
        <w:endnoteReference w:id="7"/>
      </w:r>
      <w:r w:rsidRPr="00075295">
        <w:rPr>
          <w:rFonts w:hint="eastAsia"/>
        </w:rPr>
        <w:t xml:space="preserve"> 2004年，李志超发表《王充司南新解》，指出《瓢赋》中的司南是葫芦瓢中放磁石，以竹签为柄。王充的司南与《瓢赋》中的司南是一回事。</w:t>
      </w:r>
      <w:r w:rsidRPr="00075295">
        <w:rPr>
          <w:rFonts w:hint="eastAsia"/>
        </w:rPr>
        <w:endnoteReference w:id="8"/>
      </w:r>
      <w:r w:rsidRPr="00075295">
        <w:rPr>
          <w:rFonts w:hint="eastAsia"/>
        </w:rPr>
        <w:t xml:space="preserve"> 2005年，孙机的《简论〝司南〞兼及〝司南佩〞》一文指出：前北平历史博物馆旧藏《论衡》残宋本作〝司南之酌〞，通行本中作为王振铎立论之基础的〝</w:t>
      </w:r>
      <w:proofErr w:type="gramStart"/>
      <w:r w:rsidRPr="00075295">
        <w:rPr>
          <w:rFonts w:hint="eastAsia"/>
        </w:rPr>
        <w:t>杓</w:t>
      </w:r>
      <w:proofErr w:type="gramEnd"/>
      <w:r w:rsidRPr="00075295">
        <w:rPr>
          <w:rFonts w:hint="eastAsia"/>
        </w:rPr>
        <w:t>〞，其实是一个误字。并论证〝投之于地〞为〝置之于地〞。但孙文把〝酌〞训为动词行、用，〝</w:t>
      </w:r>
      <w:proofErr w:type="gramStart"/>
      <w:r w:rsidRPr="00075295">
        <w:rPr>
          <w:rFonts w:hint="eastAsia"/>
        </w:rPr>
        <w:t>柢</w:t>
      </w:r>
      <w:proofErr w:type="gramEnd"/>
      <w:r w:rsidRPr="00075295">
        <w:rPr>
          <w:rFonts w:hint="eastAsia"/>
        </w:rPr>
        <w:t>〞训碓衡，错把《论衡》司南当成了司南车。</w:t>
      </w:r>
      <w:r w:rsidRPr="00075295">
        <w:rPr>
          <w:rFonts w:hint="eastAsia"/>
        </w:rPr>
        <w:endnoteReference w:id="9"/>
      </w:r>
      <w:r w:rsidRPr="00075295">
        <w:rPr>
          <w:rFonts w:hint="eastAsia"/>
        </w:rPr>
        <w:t xml:space="preserve"> 2007年，程军的《〝司南〞词意探源》认为：《论衡》司南有可能是其中放</w:t>
      </w:r>
      <w:r w:rsidRPr="00075295">
        <w:rPr>
          <w:rFonts w:hint="eastAsia"/>
        </w:rPr>
        <w:lastRenderedPageBreak/>
        <w:t>了磁石的瓢形木勺。在光滑平面上可使勺柄指南。</w:t>
      </w:r>
      <w:r w:rsidRPr="00075295">
        <w:rPr>
          <w:rFonts w:hint="eastAsia"/>
        </w:rPr>
        <w:endnoteReference w:id="10"/>
      </w:r>
    </w:p>
    <w:p w:rsidR="00075295" w:rsidRPr="00075295" w:rsidRDefault="00075295" w:rsidP="00075295">
      <w:pPr>
        <w:pStyle w:val="afc"/>
        <w:ind w:firstLine="560"/>
      </w:pPr>
      <w:r w:rsidRPr="00075295">
        <w:rPr>
          <w:rFonts w:hint="eastAsia"/>
        </w:rPr>
        <w:t>近年，黄兴在收集磁石资料和磁石</w:t>
      </w:r>
      <w:proofErr w:type="gramStart"/>
      <w:r w:rsidRPr="00075295">
        <w:rPr>
          <w:rFonts w:hint="eastAsia"/>
        </w:rPr>
        <w:t>勺</w:t>
      </w:r>
      <w:proofErr w:type="gramEnd"/>
      <w:r w:rsidRPr="00075295">
        <w:rPr>
          <w:rFonts w:hint="eastAsia"/>
        </w:rPr>
        <w:t>指南实验方面做了大量工作，于2017年发表《天然磁石勺〝司南〞实证研究》一文。此文引入古地磁研究的资料，指出先秦至唐中期中原等地区的地磁水平分量正处于高峰期，比当代强。这一可喜成果对各类磁性指向器复原方案都有正面意义。但黄文的短处在于文献考证，误将《论衡》司南句释为：〝将司南掷在地上或将司南</w:t>
      </w:r>
      <w:proofErr w:type="gramStart"/>
      <w:r w:rsidRPr="00075295">
        <w:rPr>
          <w:rFonts w:hint="eastAsia"/>
        </w:rPr>
        <w:t>的柄拨向</w:t>
      </w:r>
      <w:proofErr w:type="gramEnd"/>
      <w:r w:rsidRPr="00075295">
        <w:rPr>
          <w:rFonts w:hint="eastAsia"/>
        </w:rPr>
        <w:t>地面，它的柄或柄端就会指南。〞黄文将拙见概括为〝</w:t>
      </w:r>
      <w:proofErr w:type="gramStart"/>
      <w:r w:rsidRPr="00075295">
        <w:rPr>
          <w:rFonts w:hint="eastAsia"/>
        </w:rPr>
        <w:t>闻人军综合宋</w:t>
      </w:r>
      <w:proofErr w:type="gramEnd"/>
      <w:r w:rsidRPr="00075295">
        <w:rPr>
          <w:rFonts w:hint="eastAsia"/>
        </w:rPr>
        <w:t>残本「司南之酌」和《瓢</w:t>
      </w:r>
      <w:r w:rsidRPr="00075295">
        <w:t>赋》的文字，认为《鬼谷子》、《论衡》〝司南〞系将磁化钢针置于小葫芦瓢上，并用花生壳</w:t>
      </w:r>
      <w:r w:rsidRPr="00075295">
        <w:rPr>
          <w:rFonts w:hint="eastAsia"/>
        </w:rPr>
        <w:t>做了模拟实验。〞还指出：〝1938年，</w:t>
      </w:r>
      <w:proofErr w:type="gramStart"/>
      <w:r w:rsidRPr="00075295">
        <w:rPr>
          <w:rFonts w:hint="eastAsia"/>
        </w:rPr>
        <w:t>黄晖已</w:t>
      </w:r>
      <w:proofErr w:type="gramEnd"/>
      <w:r w:rsidRPr="00075295">
        <w:rPr>
          <w:rFonts w:hint="eastAsia"/>
        </w:rPr>
        <w:t>发现残宋本《论衡》「酌」的写法系版本错误。〞</w:t>
      </w:r>
      <w:r w:rsidRPr="00075295">
        <w:rPr>
          <w:rFonts w:hint="eastAsia"/>
        </w:rPr>
        <w:endnoteReference w:id="11"/>
      </w:r>
      <w:r w:rsidRPr="00075295">
        <w:rPr>
          <w:rFonts w:hint="eastAsia"/>
        </w:rPr>
        <w:t>言外之意是司南酌之说并没有立论的根据。其实，2015年的拙文中我还用两种不同尺寸的小</w:t>
      </w:r>
      <w:proofErr w:type="gramStart"/>
      <w:r w:rsidRPr="00075295">
        <w:rPr>
          <w:rFonts w:hint="eastAsia"/>
        </w:rPr>
        <w:t>葫芦瓢作了</w:t>
      </w:r>
      <w:proofErr w:type="gramEnd"/>
      <w:r w:rsidRPr="00075295">
        <w:rPr>
          <w:rFonts w:hint="eastAsia"/>
        </w:rPr>
        <w:t>模拟实验，比用花生壳的模拟实验更重要。残宋本《论衡》〝酌〞的写法不误，乃是一个善</w:t>
      </w:r>
      <w:proofErr w:type="gramStart"/>
      <w:r w:rsidRPr="00075295">
        <w:rPr>
          <w:rFonts w:hint="eastAsia"/>
        </w:rPr>
        <w:t>字佳义</w:t>
      </w:r>
      <w:proofErr w:type="gramEnd"/>
      <w:r w:rsidRPr="00075295">
        <w:rPr>
          <w:rFonts w:hint="eastAsia"/>
        </w:rPr>
        <w:t>。除了黄晖所称的宋残卷之外，拙文还补充了日本宫内厅</w:t>
      </w:r>
      <w:proofErr w:type="gramStart"/>
      <w:r w:rsidRPr="00075295">
        <w:rPr>
          <w:rFonts w:hint="eastAsia"/>
        </w:rPr>
        <w:t>书陵部藏</w:t>
      </w:r>
      <w:proofErr w:type="gramEnd"/>
      <w:r w:rsidRPr="00075295">
        <w:rPr>
          <w:rFonts w:hint="eastAsia"/>
        </w:rPr>
        <w:t>宋光宗时刻本也作〝司南之酌〞。学界一度称其为宋光宗时刻本，这是根据日本学者岛田翰的名著《古文旧书考》(1905)中的说法，张宗祥（1882—1965）《论衡校注》(2010)已考证其为宋孝宗乾道本。张宗祥还指出前北平历史博物馆旧藏《论衡》</w:t>
      </w:r>
      <w:r w:rsidRPr="00075295">
        <w:rPr>
          <w:rFonts w:hint="eastAsia"/>
        </w:rPr>
        <w:lastRenderedPageBreak/>
        <w:t>残宋本（即黄晖所称的宋残卷）实为</w:t>
      </w:r>
      <w:proofErr w:type="gramStart"/>
      <w:r w:rsidRPr="00075295">
        <w:rPr>
          <w:rFonts w:hint="eastAsia"/>
        </w:rPr>
        <w:t>楊</w:t>
      </w:r>
      <w:proofErr w:type="gramEnd"/>
      <w:r w:rsidRPr="00075295">
        <w:rPr>
          <w:rFonts w:hint="eastAsia"/>
        </w:rPr>
        <w:t>文昌刻北宋修本。</w:t>
      </w:r>
      <w:r w:rsidRPr="00075295">
        <w:rPr>
          <w:rFonts w:hint="eastAsia"/>
        </w:rPr>
        <w:endnoteReference w:id="12"/>
      </w:r>
    </w:p>
    <w:p w:rsidR="00075295" w:rsidRPr="00075295" w:rsidRDefault="00075295" w:rsidP="00075295">
      <w:pPr>
        <w:pStyle w:val="afc"/>
        <w:ind w:firstLine="560"/>
      </w:pPr>
    </w:p>
    <w:p w:rsidR="00075295" w:rsidRPr="00075295" w:rsidRDefault="00075295" w:rsidP="00075295">
      <w:pPr>
        <w:pStyle w:val="afc"/>
        <w:ind w:firstLineChars="0" w:firstLine="0"/>
        <w:rPr>
          <w:b/>
        </w:rPr>
      </w:pPr>
      <w:r w:rsidRPr="00075295">
        <w:rPr>
          <w:rFonts w:hint="eastAsia"/>
          <w:b/>
        </w:rPr>
        <w:t>2）“司南之酌”和〝司南之</w:t>
      </w:r>
      <w:proofErr w:type="gramStart"/>
      <w:r w:rsidRPr="00075295">
        <w:rPr>
          <w:rFonts w:hint="eastAsia"/>
          <w:b/>
        </w:rPr>
        <w:t>杓</w:t>
      </w:r>
      <w:proofErr w:type="gramEnd"/>
      <w:r w:rsidRPr="00075295">
        <w:rPr>
          <w:rFonts w:hint="eastAsia"/>
          <w:b/>
        </w:rPr>
        <w:t>〞孰是孰非</w:t>
      </w:r>
    </w:p>
    <w:p w:rsidR="00075295" w:rsidRPr="00075295" w:rsidRDefault="00075295" w:rsidP="00075295">
      <w:pPr>
        <w:pStyle w:val="afc"/>
        <w:ind w:firstLineChars="150" w:firstLine="420"/>
      </w:pPr>
      <w:r w:rsidRPr="00075295">
        <w:rPr>
          <w:rFonts w:hint="eastAsia"/>
        </w:rPr>
        <w:t>《论衡》传本曰：“故夫屈轶之草，......古者质朴，见草之动，则言能指；能指，则言指佞人。司南之</w:t>
      </w:r>
      <w:proofErr w:type="gramStart"/>
      <w:r w:rsidRPr="00075295">
        <w:rPr>
          <w:rFonts w:hint="eastAsia"/>
        </w:rPr>
        <w:t>杓</w:t>
      </w:r>
      <w:proofErr w:type="gramEnd"/>
      <w:r w:rsidRPr="00075295">
        <w:rPr>
          <w:rFonts w:hint="eastAsia"/>
        </w:rPr>
        <w:t>，投之于地，其柢指南；鱼肉之虫，集地北行。夫虫之性然也。今草能指，亦天性也。”正确的文本是发现司南真相的基础。“司南之酌”和〝司南之</w:t>
      </w:r>
      <w:proofErr w:type="gramStart"/>
      <w:r w:rsidRPr="00075295">
        <w:rPr>
          <w:rFonts w:hint="eastAsia"/>
        </w:rPr>
        <w:t>杓</w:t>
      </w:r>
      <w:proofErr w:type="gramEnd"/>
      <w:r w:rsidRPr="00075295">
        <w:rPr>
          <w:rFonts w:hint="eastAsia"/>
        </w:rPr>
        <w:t>〞孰是孰非，事关各家立论所基，非先弄清不可。经过拙文《〝司南之酌〞辩证及〝北斗说〞证误》考证，笔者发现所有已知的四种早期版本，即</w:t>
      </w:r>
      <w:proofErr w:type="gramStart"/>
      <w:r w:rsidRPr="00075295">
        <w:rPr>
          <w:rFonts w:hint="eastAsia"/>
        </w:rPr>
        <w:t>楊</w:t>
      </w:r>
      <w:proofErr w:type="gramEnd"/>
      <w:r w:rsidRPr="00075295">
        <w:rPr>
          <w:rFonts w:hint="eastAsia"/>
        </w:rPr>
        <w:t>文昌刻北宋修本、南宋乾道本、元小字本及</w:t>
      </w:r>
      <w:proofErr w:type="gramStart"/>
      <w:r w:rsidRPr="00075295">
        <w:rPr>
          <w:rFonts w:hint="eastAsia"/>
        </w:rPr>
        <w:t>三朝递修</w:t>
      </w:r>
      <w:proofErr w:type="gramEnd"/>
      <w:r w:rsidRPr="00075295">
        <w:rPr>
          <w:rFonts w:hint="eastAsia"/>
        </w:rPr>
        <w:t>本(明补)，在长达几乎五个世纪的时期內，都作“司南之酌”而非“司南之杓”。《太平御览》巻七六二和巻九四四的引文分別用“勺”、“杓”解释“酌”，都用“柄”解释“柢”。明嘉靖通津草堂本《论衡》改“司南之酌”为“司南之杓”，实际上是古今字的替換，其义均是“司南之勺”，而非司南之柄。要使上述四种早期版本，类书《太平御览》两种引文，和明嘉靖通津草堂本都讲得通的唯一可能是释“杓”为“勺”。以释“杓”为“勺柄”作为立论基础的各种假设都是靠不住的。而且，〝司南之酌〞保存了磁性司南与</w:t>
      </w:r>
      <w:proofErr w:type="gramStart"/>
      <w:r w:rsidRPr="00075295">
        <w:rPr>
          <w:rFonts w:hint="eastAsia"/>
        </w:rPr>
        <w:t>葫芦瓢有关联</w:t>
      </w:r>
      <w:proofErr w:type="gramEnd"/>
      <w:r w:rsidRPr="00075295">
        <w:rPr>
          <w:rFonts w:hint="eastAsia"/>
        </w:rPr>
        <w:t>的信息，又有梁吴均诗中〝指南</w:t>
      </w:r>
      <w:r w:rsidRPr="00075295">
        <w:rPr>
          <w:rFonts w:hint="eastAsia"/>
        </w:rPr>
        <w:lastRenderedPageBreak/>
        <w:t>酌〞的旁证，远比〝司南之杓〞义长。此前杨宝忠《论衡校笺》(1999)已将〝</w:t>
      </w:r>
      <w:proofErr w:type="gramStart"/>
      <w:r w:rsidRPr="00075295">
        <w:rPr>
          <w:rFonts w:hint="eastAsia"/>
        </w:rPr>
        <w:t>夫虫之</w:t>
      </w:r>
      <w:proofErr w:type="gramEnd"/>
      <w:r w:rsidRPr="00075295">
        <w:rPr>
          <w:rFonts w:hint="eastAsia"/>
        </w:rPr>
        <w:t>性然也〞校正为〝天性然也〞。故此段文字当校勘为：“故夫屈轶之草，......古者质朴，见草之动，则言能指；能指，则言指佞人。司南之酌，投之于地，其</w:t>
      </w:r>
      <w:proofErr w:type="gramStart"/>
      <w:r w:rsidRPr="00075295">
        <w:rPr>
          <w:rFonts w:hint="eastAsia"/>
        </w:rPr>
        <w:t>柢</w:t>
      </w:r>
      <w:proofErr w:type="gramEnd"/>
      <w:r w:rsidRPr="00075295">
        <w:rPr>
          <w:rFonts w:hint="eastAsia"/>
        </w:rPr>
        <w:t>指南；鱼肉之虫，集地北行。天性然也。今草能指，亦天性也。”</w:t>
      </w:r>
      <w:r w:rsidRPr="00075295">
        <w:rPr>
          <w:rFonts w:hint="eastAsia"/>
        </w:rPr>
        <w:endnoteReference w:id="13"/>
      </w:r>
      <w:r w:rsidRPr="00075295">
        <w:rPr>
          <w:rFonts w:hint="eastAsia"/>
        </w:rPr>
        <w:t xml:space="preserve"> </w:t>
      </w:r>
    </w:p>
    <w:p w:rsidR="00075295" w:rsidRPr="00075295" w:rsidRDefault="00075295" w:rsidP="00075295">
      <w:pPr>
        <w:pStyle w:val="afc"/>
        <w:ind w:firstLine="560"/>
      </w:pPr>
    </w:p>
    <w:p w:rsidR="00075295" w:rsidRPr="00075295" w:rsidRDefault="00075295" w:rsidP="00075295">
      <w:pPr>
        <w:pStyle w:val="afc"/>
        <w:ind w:firstLineChars="0" w:firstLine="0"/>
        <w:rPr>
          <w:b/>
        </w:rPr>
      </w:pPr>
      <w:r w:rsidRPr="00075295">
        <w:rPr>
          <w:rFonts w:hint="eastAsia"/>
          <w:b/>
        </w:rPr>
        <w:t xml:space="preserve">3）“投之于地”正解 </w:t>
      </w:r>
    </w:p>
    <w:p w:rsidR="00075295" w:rsidRPr="00075295" w:rsidRDefault="00075295" w:rsidP="00075295">
      <w:pPr>
        <w:pStyle w:val="afc"/>
        <w:ind w:firstLine="560"/>
      </w:pPr>
      <w:r w:rsidRPr="00075295">
        <w:rPr>
          <w:rFonts w:hint="eastAsia"/>
        </w:rPr>
        <w:t>近年来，将〝投之于地〞之〝地〞看作通常意义的〝地〞的观点获得了更多学者的认同。</w:t>
      </w:r>
    </w:p>
    <w:p w:rsidR="00075295" w:rsidRPr="00075295" w:rsidRDefault="00075295" w:rsidP="00075295">
      <w:pPr>
        <w:pStyle w:val="afc"/>
        <w:ind w:firstLine="560"/>
      </w:pPr>
      <w:r w:rsidRPr="00075295">
        <w:rPr>
          <w:rFonts w:hint="eastAsia"/>
        </w:rPr>
        <w:t>2016年，杨琳的《勺形司南未可轻易否定》一文指出：〝至于「投之于地」的「地」，就《论衡》而言，就是通常的地上、地面之义，不可直接解释成地盘，毕竟「地」没有地盘的意思。〞</w:t>
      </w:r>
      <w:r w:rsidRPr="00075295">
        <w:rPr>
          <w:rFonts w:hint="eastAsia"/>
        </w:rPr>
        <w:endnoteReference w:id="14"/>
      </w:r>
      <w:r w:rsidRPr="00075295">
        <w:rPr>
          <w:rFonts w:hint="eastAsia"/>
        </w:rPr>
        <w:t xml:space="preserve"> 所见诚是。杨文又说：〝但在复制司南时，「地」就得想象为某种特定的「地」，如地盘、琉璃砖等，正如我们可以笼统地说「火车在地上跑」，但要造出火车使之行驶，这「地上」只能是具体的「铁轨」，而不能是普通的地面，然而我们不能因此就说「地」直接有「铁轨」的含义。〞愚意火车的比方并不适合《論衡》司南的场景。假如地上有一张床，张三躺在这床上，就不能说张三躺在地上。司南、地盘和地的关系与此同</w:t>
      </w:r>
      <w:r w:rsidRPr="00075295">
        <w:rPr>
          <w:rFonts w:hint="eastAsia"/>
        </w:rPr>
        <w:lastRenderedPageBreak/>
        <w:t xml:space="preserve">理。  </w:t>
      </w:r>
    </w:p>
    <w:p w:rsidR="00075295" w:rsidRPr="00075295" w:rsidRDefault="00075295" w:rsidP="00075295">
      <w:pPr>
        <w:pStyle w:val="afc"/>
        <w:ind w:firstLine="560"/>
      </w:pPr>
      <w:r w:rsidRPr="00075295">
        <w:rPr>
          <w:rFonts w:hint="eastAsia"/>
        </w:rPr>
        <w:t>黄兴说：〝王振铎的磁石</w:t>
      </w:r>
      <w:proofErr w:type="gramStart"/>
      <w:r w:rsidRPr="00075295">
        <w:rPr>
          <w:rFonts w:hint="eastAsia"/>
        </w:rPr>
        <w:t>勺</w:t>
      </w:r>
      <w:proofErr w:type="gramEnd"/>
      <w:r w:rsidRPr="00075295">
        <w:rPr>
          <w:rFonts w:hint="eastAsia"/>
        </w:rPr>
        <w:t>剩磁偏弱，需要放在光滑的青铜表面，</w:t>
      </w:r>
      <w:r w:rsidRPr="00075295">
        <w:t>故将「司南之杓，投之于地」的「地」释作青铜(轼)[式]盘。本文实验表明，在秦汉时期，平整光滑的砖石地面、较为坚硬的木质地板上都可以有效指南，「地」可</w:t>
      </w:r>
      <w:r w:rsidRPr="00075295">
        <w:rPr>
          <w:rFonts w:hint="eastAsia"/>
        </w:rPr>
        <w:t>以采用其一般性的解释，即室内的地面。〞</w:t>
      </w:r>
      <w:r w:rsidRPr="00075295">
        <w:rPr>
          <w:rFonts w:hint="eastAsia"/>
        </w:rPr>
        <w:endnoteReference w:id="15"/>
      </w:r>
      <w:r w:rsidRPr="00075295">
        <w:rPr>
          <w:rFonts w:hint="eastAsia"/>
        </w:rPr>
        <w:t xml:space="preserve"> 愚意〝投之于地〞之〝地〞不限于〝室内的地面〞。《宋书·礼志》引《鬼谷子》曰：〝郑人取玉，必载司南，为其不惑也。〞郑人取玉路上使用司南指向时，恐怕没有磁石</w:t>
      </w:r>
      <w:proofErr w:type="gramStart"/>
      <w:r w:rsidRPr="00075295">
        <w:rPr>
          <w:rFonts w:hint="eastAsia"/>
        </w:rPr>
        <w:t>勺</w:t>
      </w:r>
      <w:proofErr w:type="gramEnd"/>
      <w:r w:rsidRPr="00075295">
        <w:rPr>
          <w:rFonts w:hint="eastAsia"/>
        </w:rPr>
        <w:t>模型需要的地面条件。从上下文看，〝投之于地〞之〝地〞与〝集地〞之〝地〞同义，即平常的地，当然也不是式盘的地盘。</w:t>
      </w:r>
    </w:p>
    <w:p w:rsidR="00075295" w:rsidRPr="00075295" w:rsidRDefault="00075295" w:rsidP="00075295">
      <w:pPr>
        <w:pStyle w:val="afc"/>
        <w:ind w:firstLine="560"/>
      </w:pPr>
      <w:r w:rsidRPr="00075295">
        <w:rPr>
          <w:rFonts w:hint="eastAsia"/>
        </w:rPr>
        <w:t>〝</w:t>
      </w:r>
      <w:proofErr w:type="gramStart"/>
      <w:r w:rsidRPr="00075295">
        <w:rPr>
          <w:rFonts w:hint="eastAsia"/>
        </w:rPr>
        <w:t>杓</w:t>
      </w:r>
      <w:proofErr w:type="gramEnd"/>
      <w:r w:rsidRPr="00075295">
        <w:rPr>
          <w:rFonts w:hint="eastAsia"/>
        </w:rPr>
        <w:t>〞字是</w:t>
      </w:r>
      <w:proofErr w:type="gramStart"/>
      <w:r w:rsidRPr="00075295">
        <w:rPr>
          <w:rFonts w:hint="eastAsia"/>
        </w:rPr>
        <w:t>磁石勺说立</w:t>
      </w:r>
      <w:proofErr w:type="gramEnd"/>
      <w:r w:rsidRPr="00075295">
        <w:rPr>
          <w:rFonts w:hint="eastAsia"/>
        </w:rPr>
        <w:t>论之基，传本司南句中的〝杓(勺)〞只是〝酌(勺)〞的同义替换，本不该释为〝勺柄〞。现暂依〝司南之</w:t>
      </w:r>
      <w:proofErr w:type="gramStart"/>
      <w:r w:rsidRPr="00075295">
        <w:rPr>
          <w:rFonts w:hint="eastAsia"/>
        </w:rPr>
        <w:t>杓</w:t>
      </w:r>
      <w:proofErr w:type="gramEnd"/>
      <w:r w:rsidRPr="00075295">
        <w:rPr>
          <w:rFonts w:hint="eastAsia"/>
        </w:rPr>
        <w:t>〞解读，试看结果。因为〝</w:t>
      </w:r>
      <w:proofErr w:type="gramStart"/>
      <w:r w:rsidRPr="00075295">
        <w:rPr>
          <w:rFonts w:hint="eastAsia"/>
        </w:rPr>
        <w:t>杓</w:t>
      </w:r>
      <w:proofErr w:type="gramEnd"/>
      <w:r w:rsidRPr="00075295">
        <w:rPr>
          <w:rFonts w:hint="eastAsia"/>
        </w:rPr>
        <w:t>〞有两义：勺或勺柄，黄文的解读也包含两种方案。第一，释〝</w:t>
      </w:r>
      <w:proofErr w:type="gramStart"/>
      <w:r w:rsidRPr="00075295">
        <w:rPr>
          <w:rFonts w:hint="eastAsia"/>
        </w:rPr>
        <w:t>杓</w:t>
      </w:r>
      <w:proofErr w:type="gramEnd"/>
      <w:r w:rsidRPr="00075295">
        <w:rPr>
          <w:rFonts w:hint="eastAsia"/>
        </w:rPr>
        <w:t>〞为勺，即〝将司南掷在地上，它的柄或柄端就会指南。〞此方案的缺陷不在于把〝司南之</w:t>
      </w:r>
      <w:proofErr w:type="gramStart"/>
      <w:r w:rsidRPr="00075295">
        <w:rPr>
          <w:rFonts w:hint="eastAsia"/>
        </w:rPr>
        <w:t>杓</w:t>
      </w:r>
      <w:proofErr w:type="gramEnd"/>
      <w:r w:rsidRPr="00075295">
        <w:rPr>
          <w:rFonts w:hint="eastAsia"/>
        </w:rPr>
        <w:t>〞看作勺状之司南，而是释〝投〞为〝掷〞。虽然〝掷〞是〝投〞的常见义项，迄今为止任何司南复原方案都不具备这种功能，古人已发明这种司南的可能性更低。第二，释〝</w:t>
      </w:r>
      <w:proofErr w:type="gramStart"/>
      <w:r w:rsidRPr="00075295">
        <w:rPr>
          <w:rFonts w:hint="eastAsia"/>
        </w:rPr>
        <w:t>杓</w:t>
      </w:r>
      <w:proofErr w:type="gramEnd"/>
      <w:r w:rsidRPr="00075295">
        <w:rPr>
          <w:rFonts w:hint="eastAsia"/>
        </w:rPr>
        <w:t>〞为勺柄，即〝将司南</w:t>
      </w:r>
      <w:proofErr w:type="gramStart"/>
      <w:r w:rsidRPr="00075295">
        <w:rPr>
          <w:rFonts w:hint="eastAsia"/>
        </w:rPr>
        <w:t>的柄拨</w:t>
      </w:r>
      <w:proofErr w:type="gramEnd"/>
      <w:r w:rsidRPr="00075295">
        <w:rPr>
          <w:rFonts w:hint="eastAsia"/>
        </w:rPr>
        <w:t>向地面，它的柄或</w:t>
      </w:r>
      <w:r w:rsidRPr="00075295">
        <w:rPr>
          <w:rFonts w:hint="eastAsia"/>
        </w:rPr>
        <w:lastRenderedPageBreak/>
        <w:t>柄端就会指南〞。王振铎曾把〝投〞字训为〝搔动〞，释为〝投转〞。李志超曾批评王振铎〝曲解「投」字〞。杨琳也指出：〝训「投」为搔动，未见所据。〞现黄兴把〝投〞字释为〝拨向〞，于古无据。</w:t>
      </w:r>
    </w:p>
    <w:p w:rsidR="00075295" w:rsidRPr="00075295" w:rsidRDefault="00075295" w:rsidP="00075295">
      <w:pPr>
        <w:pStyle w:val="afc"/>
        <w:ind w:firstLine="560"/>
      </w:pPr>
      <w:r w:rsidRPr="00075295">
        <w:rPr>
          <w:rFonts w:hint="eastAsia"/>
        </w:rPr>
        <w:t>投，一字多义。《汉语大字典》列出十六个义项，《中文大辞典》举出更多义项，但其中没有〝转〞、〝搔〞、〝拨〞之义。而《汉语大字典》〝投〞字第五义项为“置放〞，举出三个用例：《孙子·九地》：〝投之亡地然后存，陷之死地然后生。〞《礼记·乐记》：〝投殷之后于宋。〞唐韩愈《进学解》：〝投闲置散，乃分之宜。”除此之外，下文补充几个用例：</w:t>
      </w:r>
    </w:p>
    <w:p w:rsidR="00075295" w:rsidRPr="00075295" w:rsidRDefault="00075295" w:rsidP="00075295">
      <w:pPr>
        <w:pStyle w:val="afc"/>
        <w:ind w:firstLine="560"/>
      </w:pPr>
      <w:r w:rsidRPr="00075295">
        <w:rPr>
          <w:rFonts w:hint="eastAsia"/>
        </w:rPr>
        <w:t>魏王弼《周易略例·明爻通变》曰：〝</w:t>
      </w:r>
      <w:proofErr w:type="gramStart"/>
      <w:r w:rsidRPr="00075295">
        <w:rPr>
          <w:rFonts w:hint="eastAsia"/>
        </w:rPr>
        <w:t>投戈散地</w:t>
      </w:r>
      <w:proofErr w:type="gramEnd"/>
      <w:r w:rsidRPr="00075295">
        <w:rPr>
          <w:rFonts w:hint="eastAsia"/>
        </w:rPr>
        <w:t>，则六亲不能相保。〞唐</w:t>
      </w:r>
      <w:proofErr w:type="gramStart"/>
      <w:r w:rsidRPr="00075295">
        <w:rPr>
          <w:rFonts w:hint="eastAsia"/>
        </w:rPr>
        <w:t>邢</w:t>
      </w:r>
      <w:proofErr w:type="gramEnd"/>
      <w:r w:rsidRPr="00075295">
        <w:rPr>
          <w:rFonts w:hint="eastAsia"/>
        </w:rPr>
        <w:t>璹注：〝投，置也。散，逃也。置兵戈于逃散之地，虽是至亲，「不能相保」守也。〞</w:t>
      </w:r>
      <w:r w:rsidRPr="00075295">
        <w:rPr>
          <w:rFonts w:hint="eastAsia"/>
        </w:rPr>
        <w:endnoteReference w:id="16"/>
      </w:r>
      <w:r w:rsidRPr="00075295">
        <w:rPr>
          <w:rFonts w:hint="eastAsia"/>
        </w:rPr>
        <w:t xml:space="preserve"> </w:t>
      </w:r>
    </w:p>
    <w:p w:rsidR="00075295" w:rsidRPr="00075295" w:rsidRDefault="00075295" w:rsidP="00075295">
      <w:pPr>
        <w:pStyle w:val="afc"/>
        <w:ind w:firstLineChars="150" w:firstLine="420"/>
      </w:pPr>
      <w:r w:rsidRPr="00075295">
        <w:rPr>
          <w:rFonts w:hint="eastAsia"/>
        </w:rPr>
        <w:t>《后汉书·雷义传》曰：</w:t>
      </w:r>
      <w:proofErr w:type="gramStart"/>
      <w:r w:rsidRPr="00075295">
        <w:rPr>
          <w:rFonts w:hint="eastAsia"/>
        </w:rPr>
        <w:t>〝雷义字</w:t>
      </w:r>
      <w:proofErr w:type="gramEnd"/>
      <w:r w:rsidRPr="00075295">
        <w:rPr>
          <w:rFonts w:hint="eastAsia"/>
        </w:rPr>
        <w:t xml:space="preserve">仲公，豫章鄱阳人也。......义尝济人死罪，罪者后以金二斤谢之，义不受。金主伺义不在，默投金于承尘上。后葺理屋宇，乃得之。〞承尘，梁上承接尘土的帐幕。〝默投金于承尘上〞，意即〝悄悄地把金放在承尘上〞。 </w:t>
      </w:r>
    </w:p>
    <w:p w:rsidR="00075295" w:rsidRPr="00075295" w:rsidRDefault="00075295" w:rsidP="00075295">
      <w:pPr>
        <w:pStyle w:val="afc"/>
        <w:ind w:firstLine="560"/>
      </w:pPr>
      <w:r w:rsidRPr="00075295">
        <w:rPr>
          <w:rFonts w:hint="eastAsia"/>
        </w:rPr>
        <w:t>据《大唐西域记》卷十载，〝时提婆菩萨</w:t>
      </w:r>
      <w:proofErr w:type="gramStart"/>
      <w:r w:rsidRPr="00075295">
        <w:rPr>
          <w:rFonts w:hint="eastAsia"/>
        </w:rPr>
        <w:t>自执师子</w:t>
      </w:r>
      <w:proofErr w:type="gramEnd"/>
      <w:r w:rsidRPr="00075295">
        <w:rPr>
          <w:rFonts w:hint="eastAsia"/>
        </w:rPr>
        <w:t>国来</w:t>
      </w:r>
      <w:proofErr w:type="gramStart"/>
      <w:r w:rsidRPr="00075295">
        <w:rPr>
          <w:rFonts w:hint="eastAsia"/>
        </w:rPr>
        <w:t>求论</w:t>
      </w:r>
      <w:proofErr w:type="gramEnd"/>
      <w:r w:rsidRPr="00075295">
        <w:rPr>
          <w:rFonts w:hint="eastAsia"/>
        </w:rPr>
        <w:t>义。</w:t>
      </w:r>
      <w:proofErr w:type="gramStart"/>
      <w:r w:rsidRPr="00075295">
        <w:rPr>
          <w:rFonts w:hint="eastAsia"/>
        </w:rPr>
        <w:t>谓门者</w:t>
      </w:r>
      <w:proofErr w:type="gramEnd"/>
      <w:r w:rsidRPr="00075295">
        <w:rPr>
          <w:rFonts w:hint="eastAsia"/>
        </w:rPr>
        <w:t>曰：幸为通</w:t>
      </w:r>
      <w:proofErr w:type="gramStart"/>
      <w:r w:rsidRPr="00075295">
        <w:rPr>
          <w:rFonts w:hint="eastAsia"/>
        </w:rPr>
        <w:t>谒</w:t>
      </w:r>
      <w:proofErr w:type="gramEnd"/>
      <w:r w:rsidRPr="00075295">
        <w:rPr>
          <w:rFonts w:hint="eastAsia"/>
        </w:rPr>
        <w:t>。时门者遂为白。</w:t>
      </w:r>
      <w:proofErr w:type="gramStart"/>
      <w:r w:rsidRPr="00075295">
        <w:rPr>
          <w:rFonts w:hint="eastAsia"/>
        </w:rPr>
        <w:t>龙猛雅知</w:t>
      </w:r>
      <w:proofErr w:type="gramEnd"/>
      <w:r w:rsidRPr="00075295">
        <w:rPr>
          <w:rFonts w:hint="eastAsia"/>
        </w:rPr>
        <w:t>其名，盛满钵水，命</w:t>
      </w:r>
      <w:r w:rsidRPr="00075295">
        <w:rPr>
          <w:rFonts w:hint="eastAsia"/>
        </w:rPr>
        <w:lastRenderedPageBreak/>
        <w:t>弟子曰：</w:t>
      </w:r>
      <w:proofErr w:type="gramStart"/>
      <w:r w:rsidRPr="00075295">
        <w:rPr>
          <w:rFonts w:hint="eastAsia"/>
        </w:rPr>
        <w:t>汝持是水示彼提</w:t>
      </w:r>
      <w:proofErr w:type="gramEnd"/>
      <w:r w:rsidRPr="00075295">
        <w:rPr>
          <w:rFonts w:hint="eastAsia"/>
        </w:rPr>
        <w:t>婆。提婆见水默而投针。弟子持钵怀疑而返。</w:t>
      </w:r>
      <w:proofErr w:type="gramStart"/>
      <w:r w:rsidRPr="00075295">
        <w:rPr>
          <w:rFonts w:hint="eastAsia"/>
        </w:rPr>
        <w:t>龙猛曰</w:t>
      </w:r>
      <w:proofErr w:type="gramEnd"/>
      <w:r w:rsidRPr="00075295">
        <w:rPr>
          <w:rFonts w:hint="eastAsia"/>
        </w:rPr>
        <w:t>：</w:t>
      </w:r>
      <w:proofErr w:type="gramStart"/>
      <w:r w:rsidRPr="00075295">
        <w:rPr>
          <w:rFonts w:hint="eastAsia"/>
        </w:rPr>
        <w:t>彼何辞</w:t>
      </w:r>
      <w:proofErr w:type="gramEnd"/>
      <w:r w:rsidRPr="00075295">
        <w:rPr>
          <w:rFonts w:hint="eastAsia"/>
        </w:rPr>
        <w:t>乎？对曰：默无所说，但投针于水而已。</w:t>
      </w:r>
      <w:proofErr w:type="gramStart"/>
      <w:r w:rsidRPr="00075295">
        <w:rPr>
          <w:rFonts w:hint="eastAsia"/>
        </w:rPr>
        <w:t>龙猛曰</w:t>
      </w:r>
      <w:proofErr w:type="gramEnd"/>
      <w:r w:rsidRPr="00075295">
        <w:rPr>
          <w:rFonts w:hint="eastAsia"/>
        </w:rPr>
        <w:t>：</w:t>
      </w:r>
      <w:proofErr w:type="gramStart"/>
      <w:r w:rsidRPr="00075295">
        <w:rPr>
          <w:rFonts w:hint="eastAsia"/>
        </w:rPr>
        <w:t>智矣哉</w:t>
      </w:r>
      <w:proofErr w:type="gramEnd"/>
      <w:r w:rsidRPr="00075295">
        <w:rPr>
          <w:rFonts w:hint="eastAsia"/>
        </w:rPr>
        <w:t>。〞</w:t>
      </w:r>
      <w:r w:rsidRPr="00075295">
        <w:rPr>
          <w:rFonts w:hint="eastAsia"/>
        </w:rPr>
        <w:endnoteReference w:id="17"/>
      </w:r>
      <w:r w:rsidRPr="00075295">
        <w:rPr>
          <w:rFonts w:hint="eastAsia"/>
        </w:rPr>
        <w:t xml:space="preserve"> 文中〝提婆见水默而投针〞意即〝</w:t>
      </w:r>
      <w:proofErr w:type="gramStart"/>
      <w:r w:rsidRPr="00075295">
        <w:rPr>
          <w:rFonts w:hint="eastAsia"/>
        </w:rPr>
        <w:t>提婆见盛满</w:t>
      </w:r>
      <w:proofErr w:type="gramEnd"/>
      <w:r w:rsidRPr="00075295">
        <w:rPr>
          <w:rFonts w:hint="eastAsia"/>
        </w:rPr>
        <w:t>水的水钵，并</w:t>
      </w:r>
      <w:proofErr w:type="gramStart"/>
      <w:r w:rsidRPr="00075295">
        <w:rPr>
          <w:rFonts w:hint="eastAsia"/>
        </w:rPr>
        <w:t>不作</w:t>
      </w:r>
      <w:proofErr w:type="gramEnd"/>
      <w:r w:rsidRPr="00075295">
        <w:rPr>
          <w:rFonts w:hint="eastAsia"/>
        </w:rPr>
        <w:t>声，只是放针于水上〞。</w:t>
      </w:r>
    </w:p>
    <w:p w:rsidR="00075295" w:rsidRPr="00075295" w:rsidRDefault="00075295" w:rsidP="00075295">
      <w:pPr>
        <w:pStyle w:val="afc"/>
        <w:ind w:firstLine="560"/>
      </w:pPr>
      <w:r w:rsidRPr="00075295">
        <w:rPr>
          <w:rFonts w:hint="eastAsia"/>
        </w:rPr>
        <w:t>唐段成式《酉阳杂俎》续集卷五〝寺塔记上〞有二十字连句：〝有</w:t>
      </w:r>
      <w:proofErr w:type="gramStart"/>
      <w:r w:rsidRPr="00075295">
        <w:rPr>
          <w:rFonts w:hint="eastAsia"/>
        </w:rPr>
        <w:t>松堪系马</w:t>
      </w:r>
      <w:proofErr w:type="gramEnd"/>
      <w:r w:rsidRPr="00075295">
        <w:rPr>
          <w:rFonts w:hint="eastAsia"/>
        </w:rPr>
        <w:t>，</w:t>
      </w:r>
      <w:proofErr w:type="gramStart"/>
      <w:r w:rsidRPr="00075295">
        <w:rPr>
          <w:rFonts w:hint="eastAsia"/>
        </w:rPr>
        <w:t>遇钵更</w:t>
      </w:r>
      <w:proofErr w:type="gramEnd"/>
      <w:r w:rsidRPr="00075295">
        <w:rPr>
          <w:rFonts w:hint="eastAsia"/>
        </w:rPr>
        <w:t>投针。记得</w:t>
      </w:r>
      <w:proofErr w:type="gramStart"/>
      <w:r w:rsidRPr="00075295">
        <w:rPr>
          <w:rFonts w:hint="eastAsia"/>
        </w:rPr>
        <w:t>汤师句，高禅助朗</w:t>
      </w:r>
      <w:proofErr w:type="gramEnd"/>
      <w:r w:rsidRPr="00075295">
        <w:rPr>
          <w:rFonts w:hint="eastAsia"/>
        </w:rPr>
        <w:t>吟。〞</w:t>
      </w:r>
      <w:r w:rsidRPr="00075295">
        <w:rPr>
          <w:rFonts w:hint="eastAsia"/>
        </w:rPr>
        <w:endnoteReference w:id="18"/>
      </w:r>
      <w:r w:rsidRPr="00075295">
        <w:rPr>
          <w:rFonts w:hint="eastAsia"/>
        </w:rPr>
        <w:t>句中也用〝投针〞描述〝放针〞于水钵中的动作。</w:t>
      </w:r>
    </w:p>
    <w:p w:rsidR="00075295" w:rsidRPr="00075295" w:rsidRDefault="00075295" w:rsidP="00075295">
      <w:pPr>
        <w:pStyle w:val="afc"/>
        <w:ind w:firstLine="560"/>
      </w:pPr>
      <w:r w:rsidRPr="00075295">
        <w:rPr>
          <w:rFonts w:hint="eastAsia"/>
        </w:rPr>
        <w:t>《宋史·礼志一》曰：〝</w:t>
      </w:r>
      <w:proofErr w:type="gramStart"/>
      <w:r w:rsidRPr="00075295">
        <w:rPr>
          <w:rFonts w:hint="eastAsia"/>
        </w:rPr>
        <w:t>至饮福</w:t>
      </w:r>
      <w:proofErr w:type="gramEnd"/>
      <w:r w:rsidRPr="00075295">
        <w:rPr>
          <w:rFonts w:hint="eastAsia"/>
        </w:rPr>
        <w:t>，尚食奉御酌上尊酒，</w:t>
      </w:r>
      <w:proofErr w:type="gramStart"/>
      <w:r w:rsidRPr="00075295">
        <w:rPr>
          <w:rFonts w:hint="eastAsia"/>
        </w:rPr>
        <w:t>投温</w:t>
      </w:r>
      <w:proofErr w:type="gramEnd"/>
      <w:r w:rsidRPr="00075295">
        <w:rPr>
          <w:rFonts w:hint="eastAsia"/>
        </w:rPr>
        <w:t>器以进。〞《宋史·礼志二》曰：〝既享，大宴，谓之饮福。〞尚食，官名，</w:t>
      </w:r>
      <w:r w:rsidRPr="00075295">
        <w:t>掌供奉</w:t>
      </w:r>
      <w:r w:rsidRPr="00075295">
        <w:rPr>
          <w:rFonts w:hint="eastAsia"/>
        </w:rPr>
        <w:t>皇帝</w:t>
      </w:r>
      <w:r w:rsidRPr="00075295">
        <w:t>膳食</w:t>
      </w:r>
      <w:r w:rsidRPr="00075295">
        <w:rPr>
          <w:rFonts w:hint="eastAsia"/>
        </w:rPr>
        <w:t>。温器，温酒器。文中〝投〞释为〝放〞、〝置〞。此句意谓：〝到祭毕宴饮时，尚食奉御酌、上尊酒，放在温酒器中进献。〞</w:t>
      </w:r>
    </w:p>
    <w:p w:rsidR="00075295" w:rsidRPr="00075295" w:rsidRDefault="00075295" w:rsidP="00075295">
      <w:pPr>
        <w:pStyle w:val="afc"/>
        <w:ind w:firstLine="560"/>
      </w:pPr>
      <w:r w:rsidRPr="00075295">
        <w:rPr>
          <w:rFonts w:hint="eastAsia"/>
        </w:rPr>
        <w:t>明徐用</w:t>
      </w:r>
      <w:proofErr w:type="gramStart"/>
      <w:r w:rsidRPr="00075295">
        <w:rPr>
          <w:rFonts w:hint="eastAsia"/>
        </w:rPr>
        <w:t>诚原辑</w:t>
      </w:r>
      <w:proofErr w:type="gramEnd"/>
      <w:r w:rsidRPr="00075295">
        <w:rPr>
          <w:rFonts w:hint="eastAsia"/>
        </w:rPr>
        <w:t>、刘纯续增的《玉机微义》卷十曰：熬药料，〝柳枝不住手搅，候有七升，投放水盆中。〞</w:t>
      </w:r>
      <w:r w:rsidRPr="00075295">
        <w:rPr>
          <w:rFonts w:hint="eastAsia"/>
        </w:rPr>
        <w:endnoteReference w:id="19"/>
      </w:r>
      <w:r w:rsidRPr="00075295">
        <w:rPr>
          <w:rFonts w:hint="eastAsia"/>
        </w:rPr>
        <w:t>明孙一奎《赤水元珠》卷一曰：熬药料，〝柳枝不住手搅，候有七斤，投放木盆中。〞</w:t>
      </w:r>
      <w:r w:rsidRPr="00075295">
        <w:rPr>
          <w:rFonts w:hint="eastAsia"/>
        </w:rPr>
        <w:endnoteReference w:id="20"/>
      </w:r>
      <w:r w:rsidRPr="00075295">
        <w:rPr>
          <w:rFonts w:hint="eastAsia"/>
        </w:rPr>
        <w:t>例中〝投放〞与〝投〞或〝放〞同义。</w:t>
      </w:r>
    </w:p>
    <w:p w:rsidR="00075295" w:rsidRPr="00075295" w:rsidRDefault="00075295" w:rsidP="00075295">
      <w:pPr>
        <w:pStyle w:val="afc"/>
        <w:ind w:firstLine="560"/>
      </w:pPr>
      <w:r w:rsidRPr="00075295">
        <w:rPr>
          <w:rFonts w:hint="eastAsia"/>
        </w:rPr>
        <w:t>笔者认为：司南句“投之于地”的〝投〞也是置、放之意。训诂学界认为，一部书或一个作家有自己的用字用词的特点。</w:t>
      </w:r>
      <w:r w:rsidRPr="00075295">
        <w:rPr>
          <w:rFonts w:hint="eastAsia"/>
        </w:rPr>
        <w:endnoteReference w:id="21"/>
      </w:r>
      <w:r w:rsidRPr="00075295">
        <w:rPr>
          <w:rFonts w:hint="eastAsia"/>
        </w:rPr>
        <w:t>王充《论</w:t>
      </w:r>
      <w:r w:rsidRPr="00075295">
        <w:rPr>
          <w:rFonts w:hint="eastAsia"/>
        </w:rPr>
        <w:lastRenderedPageBreak/>
        <w:t>衡》也有其用字用词的特点，下文进一步证明，释司南句“投之于地”的〝投〞为置、放是言之有据的。</w:t>
      </w:r>
    </w:p>
    <w:p w:rsidR="00075295" w:rsidRPr="00075295" w:rsidRDefault="00075295" w:rsidP="00075295">
      <w:pPr>
        <w:pStyle w:val="afc"/>
        <w:ind w:firstLineChars="150" w:firstLine="420"/>
      </w:pPr>
      <w:r w:rsidRPr="00075295">
        <w:rPr>
          <w:rFonts w:hint="eastAsia"/>
        </w:rPr>
        <w:t>《论衡·商虫篇》曰：〝谷干燥者，虫不生；温湿饐餲，虫生不禁。藏宿麦之种，烈日干暴，投于燥器，则虫不生。〞</w:t>
      </w:r>
      <w:r w:rsidRPr="00075295">
        <w:rPr>
          <w:rFonts w:hint="eastAsia"/>
        </w:rPr>
        <w:endnoteReference w:id="22"/>
      </w:r>
      <w:r w:rsidRPr="00075295">
        <w:rPr>
          <w:rFonts w:hint="eastAsia"/>
        </w:rPr>
        <w:t xml:space="preserve"> 《论衡全译》把〝投于燥器〞译为〝把麦种放在干燥的容器里〞。</w:t>
      </w:r>
      <w:r w:rsidRPr="00075295">
        <w:rPr>
          <w:rFonts w:hint="eastAsia"/>
        </w:rPr>
        <w:endnoteReference w:id="23"/>
      </w:r>
      <w:r w:rsidRPr="00075295">
        <w:rPr>
          <w:rFonts w:hint="eastAsia"/>
        </w:rPr>
        <w:t xml:space="preserve"> 文中的〝投〞确是〝放〞的意思。</w:t>
      </w:r>
    </w:p>
    <w:p w:rsidR="00075295" w:rsidRPr="00075295" w:rsidRDefault="00075295" w:rsidP="00075295">
      <w:pPr>
        <w:pStyle w:val="afc"/>
        <w:ind w:firstLine="560"/>
      </w:pPr>
      <w:r w:rsidRPr="00075295">
        <w:rPr>
          <w:rFonts w:hint="eastAsia"/>
        </w:rPr>
        <w:t>更有力的例子在《论衡·状留篇》中，其文曰：〝且</w:t>
      </w:r>
      <w:proofErr w:type="gramStart"/>
      <w:r w:rsidRPr="00075295">
        <w:rPr>
          <w:rFonts w:hint="eastAsia"/>
        </w:rPr>
        <w:t>圆物投</w:t>
      </w:r>
      <w:proofErr w:type="gramEnd"/>
      <w:r w:rsidRPr="00075295">
        <w:rPr>
          <w:rFonts w:hint="eastAsia"/>
        </w:rPr>
        <w:t>之于地，东西南北，无之不可；策杖叩动，</w:t>
      </w:r>
      <w:proofErr w:type="gramStart"/>
      <w:r w:rsidRPr="00075295">
        <w:rPr>
          <w:rFonts w:hint="eastAsia"/>
        </w:rPr>
        <w:t>才微辄</w:t>
      </w:r>
      <w:proofErr w:type="gramEnd"/>
      <w:r w:rsidRPr="00075295">
        <w:rPr>
          <w:rFonts w:hint="eastAsia"/>
        </w:rPr>
        <w:t>停。方物集地，</w:t>
      </w:r>
      <w:proofErr w:type="gramStart"/>
      <w:r w:rsidRPr="00075295">
        <w:rPr>
          <w:rFonts w:hint="eastAsia"/>
        </w:rPr>
        <w:t>壹投而</w:t>
      </w:r>
      <w:proofErr w:type="gramEnd"/>
      <w:r w:rsidRPr="00075295">
        <w:rPr>
          <w:rFonts w:hint="eastAsia"/>
        </w:rPr>
        <w:t>止；及其移徙，须人动举。〞</w:t>
      </w:r>
      <w:r w:rsidRPr="00075295">
        <w:rPr>
          <w:rFonts w:hint="eastAsia"/>
        </w:rPr>
        <w:endnoteReference w:id="24"/>
      </w:r>
      <w:r w:rsidRPr="00075295">
        <w:rPr>
          <w:rFonts w:hint="eastAsia"/>
        </w:rPr>
        <w:t xml:space="preserve"> 这段话中，〝策杖〞是策和</w:t>
      </w:r>
      <w:proofErr w:type="gramStart"/>
      <w:r w:rsidRPr="00075295">
        <w:rPr>
          <w:rFonts w:hint="eastAsia"/>
        </w:rPr>
        <w:t>杖的</w:t>
      </w:r>
      <w:proofErr w:type="gramEnd"/>
      <w:r w:rsidRPr="00075295">
        <w:rPr>
          <w:rFonts w:hint="eastAsia"/>
        </w:rPr>
        <w:t>联合式复音词，在此泛指棍状物。叩：敲，击。辄：即；就。 集: 至也；下也。〝集地〞是下地的意思。物理学史界早已把《状留篇》这段话作为随遇平衡和稳定平衡的例子。如戴念祖的《中国古代物理学》(1994)说：〝东汉王充在《论衡·状留篇》中对平衡问题作了极好的论述：</w:t>
      </w:r>
      <w:proofErr w:type="gramStart"/>
      <w:r w:rsidRPr="00075295">
        <w:rPr>
          <w:rFonts w:hint="eastAsia"/>
        </w:rPr>
        <w:t>圆物投</w:t>
      </w:r>
      <w:proofErr w:type="gramEnd"/>
      <w:r w:rsidRPr="00075295">
        <w:rPr>
          <w:rFonts w:hint="eastAsia"/>
        </w:rPr>
        <w:t>之于地，东西南北无之不可，策杖叩动，</w:t>
      </w:r>
      <w:proofErr w:type="gramStart"/>
      <w:r w:rsidRPr="00075295">
        <w:rPr>
          <w:rFonts w:hint="eastAsia"/>
        </w:rPr>
        <w:t>才微</w:t>
      </w:r>
      <w:proofErr w:type="gramEnd"/>
      <w:r w:rsidRPr="00075295">
        <w:rPr>
          <w:rFonts w:hint="eastAsia"/>
        </w:rPr>
        <w:t>辄停。方物集地，一投而止，及其移徙，需人动举。「策杖」是赶马用的木棍。圆球投落地面，东西南北随遇滚动，只有用棍子制止它，它才会静止一会儿。方形物体，投落地面，立即就静止在那儿。如果要它移动，就需要施加外力，即「需人动举」。这些现象正是力学中随遇平衡和</w:t>
      </w:r>
      <w:r w:rsidRPr="00075295">
        <w:rPr>
          <w:rFonts w:hint="eastAsia"/>
        </w:rPr>
        <w:lastRenderedPageBreak/>
        <w:t>稳定平衡的典型例子。〞</w:t>
      </w:r>
      <w:r w:rsidRPr="00075295">
        <w:rPr>
          <w:rFonts w:hint="eastAsia"/>
        </w:rPr>
        <w:endnoteReference w:id="25"/>
      </w:r>
      <w:r w:rsidRPr="00075295">
        <w:rPr>
          <w:rFonts w:hint="eastAsia"/>
        </w:rPr>
        <w:t xml:space="preserve"> 后来一些科普著作采用了《中国古代物理学》的说法，如李丹</w:t>
      </w:r>
      <w:proofErr w:type="gramStart"/>
      <w:r w:rsidRPr="00075295">
        <w:rPr>
          <w:rFonts w:hint="eastAsia"/>
        </w:rPr>
        <w:t>丹</w:t>
      </w:r>
      <w:proofErr w:type="gramEnd"/>
      <w:r w:rsidRPr="00075295">
        <w:rPr>
          <w:rFonts w:hint="eastAsia"/>
        </w:rPr>
        <w:t>的《物理源流：物理历史与物理科技》(2014)、台</w:t>
      </w:r>
      <w:proofErr w:type="gramStart"/>
      <w:r w:rsidRPr="00075295">
        <w:rPr>
          <w:rFonts w:hint="eastAsia"/>
        </w:rPr>
        <w:t>运真</w:t>
      </w:r>
      <w:proofErr w:type="gramEnd"/>
      <w:r w:rsidRPr="00075295">
        <w:rPr>
          <w:rFonts w:hint="eastAsia"/>
        </w:rPr>
        <w:t>的《物理：在辉煌的历史里》(2015)。虽然他们把其中费解的〝随遇滚动〞修正成〝随意滚动〞，整段文</w:t>
      </w:r>
      <w:proofErr w:type="gramStart"/>
      <w:r w:rsidRPr="00075295">
        <w:rPr>
          <w:rFonts w:hint="eastAsia"/>
        </w:rPr>
        <w:t>意依然</w:t>
      </w:r>
      <w:proofErr w:type="gramEnd"/>
      <w:r w:rsidRPr="00075295">
        <w:rPr>
          <w:rFonts w:hint="eastAsia"/>
        </w:rPr>
        <w:t>有误解。</w:t>
      </w:r>
    </w:p>
    <w:p w:rsidR="00075295" w:rsidRPr="00075295" w:rsidRDefault="00075295" w:rsidP="00075295">
      <w:pPr>
        <w:pStyle w:val="afc"/>
        <w:ind w:firstLine="560"/>
      </w:pPr>
      <w:r w:rsidRPr="00075295">
        <w:rPr>
          <w:rFonts w:hint="eastAsia"/>
        </w:rPr>
        <w:t>笔者认为，目前流行的解释把〝叩动〞理解为〝制止〞，与原意正好相反，而且影响到对上句的理解。查《中文大字典》，〝叩〞字下有：〝【叩动】击而动之也。《论衡·状留》策杖叩动，</w:t>
      </w:r>
      <w:proofErr w:type="gramStart"/>
      <w:r w:rsidRPr="00075295">
        <w:rPr>
          <w:rFonts w:hint="eastAsia"/>
        </w:rPr>
        <w:t>才微辄</w:t>
      </w:r>
      <w:proofErr w:type="gramEnd"/>
      <w:r w:rsidRPr="00075295">
        <w:rPr>
          <w:rFonts w:hint="eastAsia"/>
        </w:rPr>
        <w:t>停。〞其意甚明。据上下文意，此处〝叩动〞并非〝制止〞或阻挡，而是轻敲扰动。〝圆物〞放到地上，一般而言，并不恰巧在平衡位置，它可能滚向任何方向，随后达到平衡状态。轻敲扰动，〝圆物〞略为滚动后又达到平衡状态。《状留篇》这段文字当理解为：圆球放在平地上(可能滚向任何方向)，东西南北各个方向都有可能。用棍子轻敲扰动，才稍微滚一下，圆球就又停下。方块下地，</w:t>
      </w:r>
      <w:proofErr w:type="gramStart"/>
      <w:r w:rsidRPr="00075295">
        <w:rPr>
          <w:rFonts w:hint="eastAsia"/>
        </w:rPr>
        <w:t>一</w:t>
      </w:r>
      <w:proofErr w:type="gramEnd"/>
      <w:r w:rsidRPr="00075295">
        <w:rPr>
          <w:rFonts w:hint="eastAsia"/>
        </w:rPr>
        <w:t>放下就停住了。要想改变它的位置，必须人力移动。 毫无疑问，《状留篇》中〝投之于地〞之地</w:t>
      </w:r>
      <w:r w:rsidRPr="00075295">
        <w:t>与〝集地〞之地同义，</w:t>
      </w:r>
      <w:r w:rsidRPr="00075295">
        <w:rPr>
          <w:rFonts w:hint="eastAsia"/>
        </w:rPr>
        <w:t>都</w:t>
      </w:r>
      <w:r w:rsidRPr="00075295">
        <w:t>是平常的地</w:t>
      </w:r>
      <w:r w:rsidRPr="00075295">
        <w:rPr>
          <w:rFonts w:hint="eastAsia"/>
        </w:rPr>
        <w:t>；〝投之于地〞之〝投〞释为〝放〞，正与整句相协，这才是随遇平衡的典型例子。</w:t>
      </w:r>
    </w:p>
    <w:p w:rsidR="00075295" w:rsidRPr="00075295" w:rsidRDefault="00075295" w:rsidP="00075295">
      <w:pPr>
        <w:pStyle w:val="afc"/>
        <w:ind w:firstLine="560"/>
      </w:pPr>
      <w:r w:rsidRPr="00075295">
        <w:t>据</w:t>
      </w:r>
      <w:r w:rsidRPr="00075295">
        <w:rPr>
          <w:rFonts w:hint="eastAsia"/>
        </w:rPr>
        <w:t>吴从祥的《〈论衡〉篇目系年》，《论衡·超奇篇》作于汉章帝建初八年(83)以后，《</w:t>
      </w:r>
      <w:r w:rsidRPr="00075295">
        <w:t>状留篇</w:t>
      </w:r>
      <w:r w:rsidRPr="00075295">
        <w:rPr>
          <w:rFonts w:hint="eastAsia"/>
        </w:rPr>
        <w:t>》作于《超奇篇》之后。《</w:t>
      </w:r>
      <w:r w:rsidRPr="00075295">
        <w:t>是应篇</w:t>
      </w:r>
      <w:r w:rsidRPr="00075295">
        <w:rPr>
          <w:rFonts w:hint="eastAsia"/>
        </w:rPr>
        <w:t>》作于《论</w:t>
      </w:r>
      <w:r w:rsidRPr="00075295">
        <w:rPr>
          <w:rFonts w:hint="eastAsia"/>
        </w:rPr>
        <w:lastRenderedPageBreak/>
        <w:t>衡·须颂篇》之前，《须颂篇》作于建初八年(83)至元和二年(85)之间。</w:t>
      </w:r>
      <w:r w:rsidRPr="00075295">
        <w:rPr>
          <w:rFonts w:hint="eastAsia"/>
        </w:rPr>
        <w:endnoteReference w:id="26"/>
      </w:r>
      <w:r w:rsidRPr="00075295">
        <w:rPr>
          <w:rFonts w:hint="eastAsia"/>
        </w:rPr>
        <w:t xml:space="preserve"> 故《</w:t>
      </w:r>
      <w:r w:rsidRPr="00075295">
        <w:t>状留篇</w:t>
      </w:r>
      <w:r w:rsidRPr="00075295">
        <w:rPr>
          <w:rFonts w:hint="eastAsia"/>
        </w:rPr>
        <w:t>》和《</w:t>
      </w:r>
      <w:r w:rsidRPr="00075295">
        <w:t>是应篇</w:t>
      </w:r>
      <w:r w:rsidRPr="00075295">
        <w:rPr>
          <w:rFonts w:hint="eastAsia"/>
        </w:rPr>
        <w:t>》的写作年代相同或相近。它们</w:t>
      </w:r>
      <w:r w:rsidRPr="00075295">
        <w:t>都用</w:t>
      </w:r>
      <w:r w:rsidRPr="00075295">
        <w:rPr>
          <w:rFonts w:hint="eastAsia"/>
        </w:rPr>
        <w:t>〝</w:t>
      </w:r>
      <w:r w:rsidRPr="00075295">
        <w:t>投之于地</w:t>
      </w:r>
      <w:r w:rsidRPr="00075295">
        <w:rPr>
          <w:rFonts w:hint="eastAsia"/>
        </w:rPr>
        <w:t>〞</w:t>
      </w:r>
      <w:r w:rsidRPr="00075295">
        <w:t>和</w:t>
      </w:r>
      <w:r w:rsidRPr="00075295">
        <w:rPr>
          <w:rFonts w:hint="eastAsia"/>
        </w:rPr>
        <w:t>〝</w:t>
      </w:r>
      <w:r w:rsidRPr="00075295">
        <w:t>集地</w:t>
      </w:r>
      <w:r w:rsidRPr="00075295">
        <w:rPr>
          <w:rFonts w:hint="eastAsia"/>
        </w:rPr>
        <w:t>〞</w:t>
      </w:r>
      <w:r w:rsidRPr="00075295">
        <w:t>对举，足见两篇中</w:t>
      </w:r>
      <w:r w:rsidRPr="00075295">
        <w:rPr>
          <w:rFonts w:hint="eastAsia"/>
        </w:rPr>
        <w:t>〝</w:t>
      </w:r>
      <w:r w:rsidRPr="00075295">
        <w:t>投之于地</w:t>
      </w:r>
      <w:r w:rsidRPr="00075295">
        <w:rPr>
          <w:rFonts w:hint="eastAsia"/>
        </w:rPr>
        <w:t>〞</w:t>
      </w:r>
      <w:r w:rsidRPr="00075295">
        <w:t>的含义相同，都是放在地上的意思。精确地说，是放在平地上。</w:t>
      </w:r>
    </w:p>
    <w:p w:rsidR="00075295" w:rsidRPr="00075295" w:rsidRDefault="00075295" w:rsidP="00075295">
      <w:pPr>
        <w:pStyle w:val="afc"/>
        <w:ind w:firstLine="560"/>
      </w:pPr>
      <w:r w:rsidRPr="00075295">
        <w:t>王充对〝</w:t>
      </w:r>
      <w:proofErr w:type="gramStart"/>
      <w:r w:rsidRPr="00075295">
        <w:rPr>
          <w:rFonts w:hint="eastAsia"/>
        </w:rPr>
        <w:t>圆物投</w:t>
      </w:r>
      <w:proofErr w:type="gramEnd"/>
      <w:r w:rsidRPr="00075295">
        <w:rPr>
          <w:rFonts w:hint="eastAsia"/>
        </w:rPr>
        <w:t>之于地〞</w:t>
      </w:r>
      <w:r w:rsidRPr="00075295">
        <w:t>的论述，为理解</w:t>
      </w:r>
      <w:r w:rsidRPr="00075295">
        <w:rPr>
          <w:rFonts w:hint="eastAsia"/>
        </w:rPr>
        <w:t>《是应篇》中的〝</w:t>
      </w:r>
      <w:r w:rsidRPr="00075295">
        <w:t>投之于地〞提供了权威的解释。假如释〝</w:t>
      </w:r>
      <w:proofErr w:type="gramStart"/>
      <w:r w:rsidRPr="00075295">
        <w:t>杓</w:t>
      </w:r>
      <w:proofErr w:type="gramEnd"/>
      <w:r w:rsidRPr="00075295">
        <w:t>〞为勺柄，司南句</w:t>
      </w:r>
      <w:r w:rsidRPr="00075295">
        <w:rPr>
          <w:rFonts w:hint="eastAsia"/>
        </w:rPr>
        <w:t>变成</w:t>
      </w:r>
      <w:r w:rsidRPr="00075295">
        <w:t>〝司南的柄，放在地上，其柄指南〞，明显不</w:t>
      </w:r>
      <w:r w:rsidRPr="00075295">
        <w:rPr>
          <w:rFonts w:hint="eastAsia"/>
        </w:rPr>
        <w:t>合情理</w:t>
      </w:r>
      <w:r w:rsidRPr="00075295">
        <w:t>。笔者认为：</w:t>
      </w:r>
      <w:r w:rsidRPr="00075295">
        <w:rPr>
          <w:rFonts w:hint="eastAsia"/>
        </w:rPr>
        <w:t>《</w:t>
      </w:r>
      <w:r w:rsidRPr="00075295">
        <w:t>是应篇</w:t>
      </w:r>
      <w:r w:rsidRPr="00075295">
        <w:rPr>
          <w:rFonts w:hint="eastAsia"/>
        </w:rPr>
        <w:t>》中</w:t>
      </w:r>
      <w:r w:rsidRPr="00075295">
        <w:t>放在地上的决不是司南的柄，而是整个〝司南酌〞</w:t>
      </w:r>
      <w:r w:rsidRPr="00075295">
        <w:rPr>
          <w:rFonts w:hint="eastAsia"/>
        </w:rPr>
        <w:t>。</w:t>
      </w:r>
      <w:r w:rsidRPr="00075295">
        <w:t>司南句说</w:t>
      </w:r>
      <w:r w:rsidRPr="00075295">
        <w:rPr>
          <w:rFonts w:hint="eastAsia"/>
        </w:rPr>
        <w:t>的是：</w:t>
      </w:r>
      <w:r w:rsidRPr="00075295">
        <w:t>〝</w:t>
      </w:r>
      <w:r w:rsidRPr="00075295">
        <w:rPr>
          <w:rFonts w:hint="eastAsia"/>
        </w:rPr>
        <w:t>司南之酌（</w:t>
      </w:r>
      <w:r w:rsidRPr="00075295">
        <w:t>司南</w:t>
      </w:r>
      <w:proofErr w:type="gramStart"/>
      <w:r w:rsidRPr="00075295">
        <w:t>酌</w:t>
      </w:r>
      <w:proofErr w:type="gramEnd"/>
      <w:r w:rsidRPr="00075295">
        <w:rPr>
          <w:rFonts w:hint="eastAsia"/>
        </w:rPr>
        <w:t>）</w:t>
      </w:r>
      <w:r w:rsidRPr="00075295">
        <w:t>，放在地上，其柄指南</w:t>
      </w:r>
      <w:r w:rsidRPr="00075295">
        <w:rPr>
          <w:rFonts w:hint="eastAsia"/>
        </w:rPr>
        <w:t>。</w:t>
      </w:r>
      <w:r w:rsidRPr="00075295">
        <w:t>〞</w:t>
      </w:r>
    </w:p>
    <w:p w:rsidR="00075295" w:rsidRPr="00075295" w:rsidRDefault="00075295" w:rsidP="00075295">
      <w:pPr>
        <w:pStyle w:val="afc"/>
        <w:ind w:firstLine="560"/>
      </w:pPr>
    </w:p>
    <w:p w:rsidR="00075295" w:rsidRPr="00075295" w:rsidRDefault="00075295" w:rsidP="00075295">
      <w:pPr>
        <w:pStyle w:val="afc"/>
        <w:ind w:firstLineChars="0" w:firstLine="0"/>
        <w:rPr>
          <w:b/>
        </w:rPr>
      </w:pPr>
      <w:r w:rsidRPr="00075295">
        <w:rPr>
          <w:b/>
        </w:rPr>
        <w:t>4</w:t>
      </w:r>
      <w:r w:rsidRPr="00075295">
        <w:rPr>
          <w:rFonts w:hint="eastAsia"/>
          <w:b/>
        </w:rPr>
        <w:t>）</w:t>
      </w:r>
      <w:proofErr w:type="gramStart"/>
      <w:r w:rsidRPr="00075295">
        <w:rPr>
          <w:rFonts w:hint="eastAsia"/>
          <w:b/>
        </w:rPr>
        <w:t>〝瓢针司南</w:t>
      </w:r>
      <w:proofErr w:type="gramEnd"/>
      <w:r w:rsidRPr="00075295">
        <w:rPr>
          <w:rFonts w:hint="eastAsia"/>
          <w:b/>
        </w:rPr>
        <w:t xml:space="preserve">酌〞与磁石勺说之优劣 </w:t>
      </w:r>
    </w:p>
    <w:p w:rsidR="00075295" w:rsidRPr="00075295" w:rsidRDefault="00075295" w:rsidP="00075295">
      <w:pPr>
        <w:pStyle w:val="afc"/>
        <w:ind w:firstLine="560"/>
      </w:pPr>
      <w:r w:rsidRPr="00075295">
        <w:rPr>
          <w:rFonts w:hint="eastAsia"/>
        </w:rPr>
        <w:t>黄兴指出：古代有条件、古人有能力制成多种天然磁石指向器。这是正确的。但黄文认为：〝磁石勺是综合效果最佳的指向方案，且很好地贴合了文献记载。〞</w:t>
      </w:r>
      <w:r w:rsidRPr="00075295">
        <w:t>司南句</w:t>
      </w:r>
      <w:r w:rsidRPr="00075295">
        <w:rPr>
          <w:rFonts w:hint="eastAsia"/>
        </w:rPr>
        <w:t>〝这12个字表达的含义和上文中指出的勺状磁石指南的用法高度相符，且描述到位、语言精练。〞</w:t>
      </w:r>
      <w:r w:rsidRPr="00075295">
        <w:rPr>
          <w:rFonts w:hint="eastAsia"/>
        </w:rPr>
        <w:endnoteReference w:id="27"/>
      </w:r>
      <w:r w:rsidRPr="00075295">
        <w:rPr>
          <w:rFonts w:hint="eastAsia"/>
        </w:rPr>
        <w:t xml:space="preserve"> 笔者难以苟同。上文已分析黄文的解读不合《论衡》司南句之意。据黄文的磁石水浮司南实验，李志超的瓢中放磁石的水浮司南有许多优点，可行性毫无疑问，其不足之处只是传统磁针式水罗盘的通病。与</w:t>
      </w:r>
      <w:r w:rsidRPr="00075295">
        <w:rPr>
          <w:rFonts w:hint="eastAsia"/>
        </w:rPr>
        <w:lastRenderedPageBreak/>
        <w:t>磁石</w:t>
      </w:r>
      <w:proofErr w:type="gramStart"/>
      <w:r w:rsidRPr="00075295">
        <w:rPr>
          <w:rFonts w:hint="eastAsia"/>
        </w:rPr>
        <w:t>勺</w:t>
      </w:r>
      <w:proofErr w:type="gramEnd"/>
      <w:r w:rsidRPr="00075295">
        <w:rPr>
          <w:rFonts w:hint="eastAsia"/>
        </w:rPr>
        <w:t>方案相比，磁石水浮司南似乎还略胜一筹。至于水</w:t>
      </w:r>
      <w:proofErr w:type="gramStart"/>
      <w:r w:rsidRPr="00075295">
        <w:rPr>
          <w:rFonts w:hint="eastAsia"/>
        </w:rPr>
        <w:t>浮式瓢针司南</w:t>
      </w:r>
      <w:proofErr w:type="gramEnd"/>
      <w:r w:rsidRPr="00075295">
        <w:rPr>
          <w:rFonts w:hint="eastAsia"/>
        </w:rPr>
        <w:t>酌，未在黄文比较之列。磁石勺和</w:t>
      </w:r>
      <w:proofErr w:type="gramStart"/>
      <w:r w:rsidRPr="00075295">
        <w:rPr>
          <w:rFonts w:hint="eastAsia"/>
        </w:rPr>
        <w:t>瓢针</w:t>
      </w:r>
      <w:proofErr w:type="gramEnd"/>
      <w:r w:rsidRPr="00075295">
        <w:rPr>
          <w:rFonts w:hint="eastAsia"/>
        </w:rPr>
        <w:t xml:space="preserve">司南酌都属磁性指向器，在此不妨略作比较。 </w:t>
      </w:r>
    </w:p>
    <w:p w:rsidR="00075295" w:rsidRPr="00075295" w:rsidRDefault="00075295" w:rsidP="00075295">
      <w:pPr>
        <w:pStyle w:val="afc"/>
        <w:ind w:firstLine="560"/>
      </w:pPr>
      <w:r w:rsidRPr="00075295">
        <w:rPr>
          <w:rFonts w:hint="eastAsia"/>
        </w:rPr>
        <w:t>黄文中测试时，磁石勺是放在四种不同材质的光滑地盘上，不是放在地上。假如磁石</w:t>
      </w:r>
      <w:proofErr w:type="gramStart"/>
      <w:r w:rsidRPr="00075295">
        <w:rPr>
          <w:rFonts w:hint="eastAsia"/>
        </w:rPr>
        <w:t>勺</w:t>
      </w:r>
      <w:proofErr w:type="gramEnd"/>
      <w:r w:rsidRPr="00075295">
        <w:rPr>
          <w:rFonts w:hint="eastAsia"/>
        </w:rPr>
        <w:t>放在地面上(即〝投之于地〞)，结果将大为不同。也许不能转动，最好的结果可能是用人力向下搔动或拨动勺柄，使其一边上下摆动，一边水平转动，才能指南。但是《论衡》司南句中并没有这样的额外操作，可见黄文中指出的勺状磁石指南的用法和《论衡》司南句表达的含义并不相符。磁石</w:t>
      </w:r>
      <w:proofErr w:type="gramStart"/>
      <w:r w:rsidRPr="00075295">
        <w:rPr>
          <w:rFonts w:hint="eastAsia"/>
        </w:rPr>
        <w:t>勺</w:t>
      </w:r>
      <w:proofErr w:type="gramEnd"/>
      <w:r w:rsidRPr="00075295">
        <w:rPr>
          <w:rFonts w:hint="eastAsia"/>
        </w:rPr>
        <w:t>模型即使能指南，却不是《论衡》所记的司南。然而，水浮式</w:t>
      </w:r>
      <w:proofErr w:type="gramStart"/>
      <w:r w:rsidRPr="00075295">
        <w:rPr>
          <w:rFonts w:hint="eastAsia"/>
        </w:rPr>
        <w:t>瓢针司南酌</w:t>
      </w:r>
      <w:proofErr w:type="gramEnd"/>
      <w:r w:rsidRPr="00075295">
        <w:rPr>
          <w:rFonts w:hint="eastAsia"/>
        </w:rPr>
        <w:t>放在地上(即〝投之于地〞)，无论初始方向是什么，司南酌之柄都会因天性而自动指南。可见</w:t>
      </w:r>
      <w:proofErr w:type="gramStart"/>
      <w:r w:rsidRPr="00075295">
        <w:rPr>
          <w:rFonts w:hint="eastAsia"/>
        </w:rPr>
        <w:t>〝瓢针司南</w:t>
      </w:r>
      <w:proofErr w:type="gramEnd"/>
      <w:r w:rsidRPr="00075295">
        <w:rPr>
          <w:rFonts w:hint="eastAsia"/>
        </w:rPr>
        <w:t>酌〞才与《论衡》司南句表达的含义高度相符。</w:t>
      </w:r>
    </w:p>
    <w:p w:rsidR="00075295" w:rsidRPr="00075295" w:rsidRDefault="00075295" w:rsidP="00075295">
      <w:pPr>
        <w:pStyle w:val="afc"/>
        <w:ind w:firstLine="560"/>
      </w:pPr>
      <w:r w:rsidRPr="00075295">
        <w:rPr>
          <w:rFonts w:hint="eastAsia"/>
        </w:rPr>
        <w:t>王充取〝司南之酌〞为例，表明〝司南之酌〞并不新奇，必有所本。现存古籍，只知《鬼谷子》和《韩非子》〝司南〞早于《论衡》。《韩非子》中的〝立司南〞，</w:t>
      </w:r>
      <w:proofErr w:type="gramStart"/>
      <w:r w:rsidRPr="00075295">
        <w:rPr>
          <w:rFonts w:hint="eastAsia"/>
        </w:rPr>
        <w:t>实指立表</w:t>
      </w:r>
      <w:proofErr w:type="gramEnd"/>
      <w:r w:rsidRPr="00075295">
        <w:rPr>
          <w:rFonts w:hint="eastAsia"/>
        </w:rPr>
        <w:t>测影。《鬼谷子》也是先秦之书，早有学者著《鬼谷子真伪考》(作者归属有争议),指出西汉刘向的《说苑·善说》中引用过《鬼谷子》之文。</w:t>
      </w:r>
      <w:r w:rsidRPr="00075295">
        <w:rPr>
          <w:rFonts w:hint="eastAsia"/>
        </w:rPr>
        <w:endnoteReference w:id="28"/>
      </w:r>
      <w:r w:rsidRPr="00075295">
        <w:rPr>
          <w:rFonts w:hint="eastAsia"/>
        </w:rPr>
        <w:t xml:space="preserve"> 时至东汉，王充《论衡·答佞篇》曰：〝术则从横，师则鬼谷也。传曰：苏秦、张仪习从</w:t>
      </w:r>
      <w:r w:rsidRPr="00075295">
        <w:rPr>
          <w:rFonts w:hint="eastAsia"/>
        </w:rPr>
        <w:lastRenderedPageBreak/>
        <w:t>横</w:t>
      </w:r>
      <w:proofErr w:type="gramStart"/>
      <w:r w:rsidRPr="00075295">
        <w:rPr>
          <w:rFonts w:hint="eastAsia"/>
        </w:rPr>
        <w:t>之术于鬼</w:t>
      </w:r>
      <w:proofErr w:type="gramEnd"/>
      <w:r w:rsidRPr="00075295">
        <w:rPr>
          <w:rFonts w:hint="eastAsia"/>
        </w:rPr>
        <w:t>谷先生。〞由此可知，王充知道鬼谷子其人。《鬼谷子》中有〝磁石之取针〞和〝必载司南〞的记载，《论衡》中也有〝磁石引针〞和〝司南之酌〞，王充谅也见过《鬼谷子》其书，知道郑人取玉〝必载司南〞之事。他在《是应篇》中以〝司南之酌，投之于地，其</w:t>
      </w:r>
      <w:proofErr w:type="gramStart"/>
      <w:r w:rsidRPr="00075295">
        <w:rPr>
          <w:rFonts w:hint="eastAsia"/>
        </w:rPr>
        <w:t>柢</w:t>
      </w:r>
      <w:proofErr w:type="gramEnd"/>
      <w:r w:rsidRPr="00075295">
        <w:rPr>
          <w:rFonts w:hint="eastAsia"/>
        </w:rPr>
        <w:t xml:space="preserve">指南〞十二字，用平直的语言举出这个例子说明天性。   </w:t>
      </w:r>
    </w:p>
    <w:p w:rsidR="00075295" w:rsidRPr="00075295" w:rsidRDefault="00075295" w:rsidP="00075295">
      <w:pPr>
        <w:pStyle w:val="afc"/>
        <w:ind w:firstLine="560"/>
      </w:pPr>
      <w:r w:rsidRPr="00075295">
        <w:rPr>
          <w:rFonts w:hint="eastAsia"/>
        </w:rPr>
        <w:t>被磁石吸引过的钢針已被磁化，变成磁针。磁针本身早在鬼谷子時代就已存在，发现它的指向性远比发现磁石的指向性容易。天然的小</w:t>
      </w:r>
      <w:proofErr w:type="gramStart"/>
      <w:r w:rsidRPr="00075295">
        <w:rPr>
          <w:rFonts w:hint="eastAsia"/>
        </w:rPr>
        <w:t>葫蘆瓢被用</w:t>
      </w:r>
      <w:proofErr w:type="gramEnd"/>
      <w:r w:rsidRPr="00075295">
        <w:rPr>
          <w:rFonts w:hint="eastAsia"/>
        </w:rPr>
        <w:t>作磁针的承载体，除了它能满足水浮指南，〝为其不惑〞的基本要求，也是为了传统观念的需要。北斗之所以称为北斗，是因为其形如勺。《汉书·王莽传》：〝</w:t>
      </w:r>
      <w:proofErr w:type="gramStart"/>
      <w:r w:rsidRPr="00075295">
        <w:rPr>
          <w:rFonts w:hint="eastAsia"/>
        </w:rPr>
        <w:t>莽</w:t>
      </w:r>
      <w:proofErr w:type="gramEnd"/>
      <w:r w:rsidRPr="00075295">
        <w:rPr>
          <w:rFonts w:hint="eastAsia"/>
        </w:rPr>
        <w:t>亲之南郊，铸作威斗。威斗者，以五石、铜为之，若北斗，长二尺五寸，欲以压胜众兵。〞取</w:t>
      </w:r>
      <w:proofErr w:type="gramStart"/>
      <w:r w:rsidRPr="00075295">
        <w:rPr>
          <w:rFonts w:hint="eastAsia"/>
        </w:rPr>
        <w:t>天然小葫芦瓢</w:t>
      </w:r>
      <w:proofErr w:type="gramEnd"/>
      <w:r w:rsidRPr="00075295">
        <w:rPr>
          <w:rFonts w:hint="eastAsia"/>
        </w:rPr>
        <w:t>制成的</w:t>
      </w:r>
      <w:proofErr w:type="gramStart"/>
      <w:r w:rsidRPr="00075295">
        <w:rPr>
          <w:rFonts w:hint="eastAsia"/>
        </w:rPr>
        <w:t>〝瓢针司</w:t>
      </w:r>
      <w:proofErr w:type="gramEnd"/>
      <w:r w:rsidRPr="00075295">
        <w:rPr>
          <w:rFonts w:hint="eastAsia"/>
        </w:rPr>
        <w:t>南酌〞，暗合天地造化之妙。</w:t>
      </w:r>
    </w:p>
    <w:p w:rsidR="00075295" w:rsidRPr="00075295" w:rsidRDefault="00075295" w:rsidP="00075295">
      <w:pPr>
        <w:pStyle w:val="afc"/>
        <w:ind w:firstLine="560"/>
      </w:pPr>
    </w:p>
    <w:p w:rsidR="00075295" w:rsidRPr="00075295" w:rsidRDefault="00075295" w:rsidP="00075295">
      <w:pPr>
        <w:pStyle w:val="afc"/>
        <w:ind w:firstLineChars="0" w:firstLine="0"/>
        <w:jc w:val="left"/>
        <w:rPr>
          <w:b/>
        </w:rPr>
      </w:pPr>
      <w:r w:rsidRPr="00075295">
        <w:rPr>
          <w:b/>
        </w:rPr>
        <w:t>5</w:t>
      </w:r>
      <w:r w:rsidRPr="00075295">
        <w:rPr>
          <w:rFonts w:hint="eastAsia"/>
          <w:b/>
        </w:rPr>
        <w:t>）</w:t>
      </w:r>
      <w:proofErr w:type="gramStart"/>
      <w:r w:rsidRPr="00075295">
        <w:rPr>
          <w:rFonts w:hint="eastAsia"/>
          <w:b/>
        </w:rPr>
        <w:t>〝瓢针司南</w:t>
      </w:r>
      <w:proofErr w:type="gramEnd"/>
      <w:r w:rsidRPr="00075295">
        <w:rPr>
          <w:rFonts w:hint="eastAsia"/>
          <w:b/>
        </w:rPr>
        <w:t xml:space="preserve">酌〞之文物与文献留踪  </w:t>
      </w:r>
    </w:p>
    <w:p w:rsidR="00075295" w:rsidRPr="00075295" w:rsidRDefault="00075295" w:rsidP="00075295">
      <w:pPr>
        <w:pStyle w:val="afc"/>
        <w:ind w:firstLine="560"/>
      </w:pPr>
      <w:r w:rsidRPr="00075295">
        <w:rPr>
          <w:rFonts w:hint="eastAsia"/>
        </w:rPr>
        <w:t>有意思的是，〝圆物〞〝投之于地〞，〝东西南北，无之不可〞。而〝司南之酌〞〝投之于地〞，则〝其</w:t>
      </w:r>
      <w:proofErr w:type="gramStart"/>
      <w:r w:rsidRPr="00075295">
        <w:rPr>
          <w:rFonts w:hint="eastAsia"/>
        </w:rPr>
        <w:t>柢</w:t>
      </w:r>
      <w:proofErr w:type="gramEnd"/>
      <w:r w:rsidRPr="00075295">
        <w:rPr>
          <w:rFonts w:hint="eastAsia"/>
        </w:rPr>
        <w:t>指南〞。之所以如此不同，是因为 〝司南之酌〞有天性（磁性），普通〝圆物〞无天性。《管氏指蒙·释中第八》曰：〝磁者母之道，针者铁之</w:t>
      </w:r>
      <w:proofErr w:type="gramStart"/>
      <w:r w:rsidRPr="00075295">
        <w:rPr>
          <w:rFonts w:hint="eastAsia"/>
        </w:rPr>
        <w:t>戕</w:t>
      </w:r>
      <w:proofErr w:type="gramEnd"/>
      <w:r w:rsidRPr="00075295">
        <w:rPr>
          <w:rFonts w:hint="eastAsia"/>
        </w:rPr>
        <w:t>，母子之气以是感，</w:t>
      </w:r>
      <w:r w:rsidRPr="00075295">
        <w:rPr>
          <w:rFonts w:hint="eastAsia"/>
        </w:rPr>
        <w:lastRenderedPageBreak/>
        <w:t>以是通，受戕之性，以是复，以是完。体轻而径，所指必端，应一气之所召。〞</w:t>
      </w:r>
      <w:r w:rsidRPr="00075295">
        <w:rPr>
          <w:rFonts w:hint="eastAsia"/>
        </w:rPr>
        <w:endnoteReference w:id="29"/>
      </w:r>
      <w:r w:rsidRPr="00075295">
        <w:rPr>
          <w:rFonts w:hint="eastAsia"/>
        </w:rPr>
        <w:t>此段文字简奥，形成年代上溯至何时待考，然所述磁石和磁针的母子关系和同气相</w:t>
      </w:r>
      <w:proofErr w:type="gramStart"/>
      <w:r w:rsidRPr="00075295">
        <w:rPr>
          <w:rFonts w:hint="eastAsia"/>
        </w:rPr>
        <w:t>召</w:t>
      </w:r>
      <w:proofErr w:type="gramEnd"/>
      <w:r w:rsidRPr="00075295">
        <w:rPr>
          <w:rFonts w:hint="eastAsia"/>
        </w:rPr>
        <w:t>可视为古人对</w:t>
      </w:r>
      <w:proofErr w:type="gramStart"/>
      <w:r w:rsidRPr="00075295">
        <w:rPr>
          <w:rFonts w:hint="eastAsia"/>
        </w:rPr>
        <w:t>〝瓢针司</w:t>
      </w:r>
      <w:proofErr w:type="gramEnd"/>
      <w:r w:rsidRPr="00075295">
        <w:rPr>
          <w:rFonts w:hint="eastAsia"/>
        </w:rPr>
        <w:t>南酌〞天性指南的传统解释。值得指出，《管氏指蒙·释中第八》中还有关于磁偏角的早期珍贵记载，如：〝土</w:t>
      </w:r>
      <w:proofErr w:type="gramStart"/>
      <w:r w:rsidRPr="00075295">
        <w:rPr>
          <w:rFonts w:hint="eastAsia"/>
        </w:rPr>
        <w:t>曷</w:t>
      </w:r>
      <w:proofErr w:type="gramEnd"/>
      <w:r w:rsidRPr="00075295">
        <w:rPr>
          <w:rFonts w:hint="eastAsia"/>
        </w:rPr>
        <w:t>中而方曷偏，较轩辕之纪，尚在</w:t>
      </w:r>
      <w:proofErr w:type="gramStart"/>
      <w:r w:rsidRPr="00075295">
        <w:rPr>
          <w:rFonts w:hint="eastAsia"/>
        </w:rPr>
        <w:t>星虚丁癸之</w:t>
      </w:r>
      <w:proofErr w:type="gramEnd"/>
      <w:r w:rsidRPr="00075295">
        <w:rPr>
          <w:rFonts w:hint="eastAsia"/>
        </w:rPr>
        <w:t xml:space="preserve">躔。〞确认“瓢针司南酌”也有助于破解此类谜团。 </w:t>
      </w:r>
    </w:p>
    <w:p w:rsidR="00075295" w:rsidRPr="00075295" w:rsidRDefault="00075295" w:rsidP="00075295">
      <w:pPr>
        <w:pStyle w:val="afc"/>
        <w:ind w:firstLine="560"/>
      </w:pPr>
      <w:r w:rsidRPr="00075295">
        <w:rPr>
          <w:rFonts w:hint="eastAsia"/>
        </w:rPr>
        <w:t>传世的六朝诗文中尚有司南酌的留存。</w:t>
      </w:r>
      <w:r w:rsidRPr="00075295">
        <w:rPr>
          <w:rFonts w:hint="eastAsia"/>
        </w:rPr>
        <w:endnoteReference w:id="30"/>
      </w:r>
      <w:r w:rsidRPr="00075295">
        <w:rPr>
          <w:rFonts w:hint="eastAsia"/>
        </w:rPr>
        <w:t>唐宋时，世上仍有司南，</w:t>
      </w:r>
      <w:proofErr w:type="gramStart"/>
      <w:r w:rsidRPr="00075295">
        <w:rPr>
          <w:rFonts w:hint="eastAsia"/>
        </w:rPr>
        <w:t>唐韦肇《瓢赋》</w:t>
      </w:r>
      <w:proofErr w:type="gramEnd"/>
      <w:r w:rsidRPr="00075295">
        <w:rPr>
          <w:rFonts w:hint="eastAsia"/>
        </w:rPr>
        <w:t>〝充玩好，则校司南以为可〞是一明证。佛家看到天性指南的司南以及传说中的司南车对弘扬佛法有利，异军突起，与司南和司南车结下了不解之缘，在司南和指南针的交会时期，留下了诸多足迹。例如：北宋</w:t>
      </w:r>
      <w:proofErr w:type="gramStart"/>
      <w:r w:rsidRPr="00075295">
        <w:rPr>
          <w:rFonts w:hint="eastAsia"/>
        </w:rPr>
        <w:t>末年释正觉</w:t>
      </w:r>
      <w:proofErr w:type="gramEnd"/>
      <w:r w:rsidRPr="00075295">
        <w:rPr>
          <w:rFonts w:hint="eastAsia"/>
        </w:rPr>
        <w:t>的《颂古》诗曰：</w:t>
      </w:r>
      <w:proofErr w:type="gramStart"/>
      <w:r w:rsidRPr="00075295">
        <w:rPr>
          <w:rFonts w:hint="eastAsia"/>
        </w:rPr>
        <w:t>〝妙握司南</w:t>
      </w:r>
      <w:proofErr w:type="gramEnd"/>
      <w:r w:rsidRPr="00075295">
        <w:rPr>
          <w:rFonts w:hint="eastAsia"/>
        </w:rPr>
        <w:t>造化柄，水云器具在甄陶。〞</w:t>
      </w:r>
      <w:r w:rsidRPr="00075295">
        <w:rPr>
          <w:rFonts w:hint="eastAsia"/>
        </w:rPr>
        <w:endnoteReference w:id="31"/>
      </w:r>
      <w:r w:rsidRPr="00075295">
        <w:rPr>
          <w:rFonts w:hint="eastAsia"/>
        </w:rPr>
        <w:t xml:space="preserve"> 此诗意味深长，值得探究。有学者以为诗中司南应指权力，</w:t>
      </w:r>
      <w:r w:rsidRPr="00075295">
        <w:rPr>
          <w:rFonts w:hint="eastAsia"/>
        </w:rPr>
        <w:endnoteReference w:id="32"/>
      </w:r>
      <w:r w:rsidRPr="00075295">
        <w:rPr>
          <w:rFonts w:hint="eastAsia"/>
        </w:rPr>
        <w:t xml:space="preserve"> 这是一种误解。元末熊梦祥所撰《析津志·寺观》曰：〝要哉，正觉之司南，</w:t>
      </w:r>
      <w:proofErr w:type="gramStart"/>
      <w:r w:rsidRPr="00075295">
        <w:rPr>
          <w:rFonts w:hint="eastAsia"/>
        </w:rPr>
        <w:t>真乘之準酌欤</w:t>
      </w:r>
      <w:proofErr w:type="gramEnd"/>
      <w:r w:rsidRPr="00075295">
        <w:rPr>
          <w:rFonts w:hint="eastAsia"/>
        </w:rPr>
        <w:t>。〞</w:t>
      </w:r>
      <w:r w:rsidRPr="00075295">
        <w:rPr>
          <w:rFonts w:hint="eastAsia"/>
        </w:rPr>
        <w:endnoteReference w:id="33"/>
      </w:r>
      <w:r w:rsidRPr="00075295">
        <w:rPr>
          <w:rFonts w:hint="eastAsia"/>
        </w:rPr>
        <w:t xml:space="preserve"> 文中〝正觉之司南〞显然不可能解释成〝正觉的权力〞。元末，明通津草堂本《论衡》尚未刻行，熊梦祥所见的《论衡》应作〝司南之酌〞。他将司南</w:t>
      </w:r>
      <w:proofErr w:type="gramStart"/>
      <w:r w:rsidRPr="00075295">
        <w:rPr>
          <w:rFonts w:hint="eastAsia"/>
        </w:rPr>
        <w:t>酌</w:t>
      </w:r>
      <w:proofErr w:type="gramEnd"/>
      <w:r w:rsidRPr="00075295">
        <w:rPr>
          <w:rFonts w:hint="eastAsia"/>
        </w:rPr>
        <w:t>化为〝正觉之司南，</w:t>
      </w:r>
      <w:proofErr w:type="gramStart"/>
      <w:r w:rsidRPr="00075295">
        <w:rPr>
          <w:rFonts w:hint="eastAsia"/>
        </w:rPr>
        <w:t>真乘之</w:t>
      </w:r>
      <w:proofErr w:type="gramEnd"/>
      <w:r w:rsidRPr="00075295">
        <w:rPr>
          <w:rFonts w:hint="eastAsia"/>
        </w:rPr>
        <w:t>準酌〞，语义双关。前后句联系起来解读，不难发现</w:t>
      </w:r>
      <w:proofErr w:type="gramStart"/>
      <w:r w:rsidRPr="00075295">
        <w:rPr>
          <w:rFonts w:hint="eastAsia"/>
        </w:rPr>
        <w:t>正觉诗写实</w:t>
      </w:r>
      <w:proofErr w:type="gramEnd"/>
      <w:r w:rsidRPr="00075295">
        <w:rPr>
          <w:rFonts w:hint="eastAsia"/>
        </w:rPr>
        <w:t>的情境：陶器面</w:t>
      </w:r>
      <w:proofErr w:type="gramStart"/>
      <w:r w:rsidRPr="00075295">
        <w:rPr>
          <w:rFonts w:hint="eastAsia"/>
        </w:rPr>
        <w:t>上浮着</w:t>
      </w:r>
      <w:proofErr w:type="gramEnd"/>
      <w:r w:rsidRPr="00075295">
        <w:rPr>
          <w:rFonts w:hint="eastAsia"/>
        </w:rPr>
        <w:t>带有造化柄的器具---司南。</w:t>
      </w:r>
      <w:r w:rsidRPr="00075295">
        <w:rPr>
          <w:rFonts w:hint="eastAsia"/>
        </w:rPr>
        <w:lastRenderedPageBreak/>
        <w:t>1982年元旦，江苏省丹徒县发现一处大型唐代银器窖藏，出土器物共九百五十余件。引人注目的是〝论语玉烛〞涂金龟负圆筒、银酒令筹</w:t>
      </w:r>
      <w:proofErr w:type="gramStart"/>
      <w:r w:rsidRPr="00075295">
        <w:rPr>
          <w:rFonts w:hint="eastAsia"/>
        </w:rPr>
        <w:t>和银酒令旗</w:t>
      </w:r>
      <w:proofErr w:type="gramEnd"/>
      <w:r w:rsidRPr="00075295">
        <w:rPr>
          <w:rFonts w:hint="eastAsia"/>
        </w:rPr>
        <w:t>等酒文化考古实物，</w:t>
      </w:r>
      <w:r w:rsidRPr="00075295">
        <w:rPr>
          <w:rFonts w:hint="eastAsia"/>
        </w:rPr>
        <w:endnoteReference w:id="34"/>
      </w:r>
      <w:r w:rsidRPr="00075295">
        <w:rPr>
          <w:rFonts w:hint="eastAsia"/>
        </w:rPr>
        <w:t xml:space="preserve"> 最令人感兴趣的是一支带有葫芦</w:t>
      </w:r>
      <w:proofErr w:type="gramStart"/>
      <w:r w:rsidRPr="00075295">
        <w:rPr>
          <w:rFonts w:hint="eastAsia"/>
        </w:rPr>
        <w:t>针矛</w:t>
      </w:r>
      <w:proofErr w:type="gramEnd"/>
      <w:r w:rsidRPr="00075295">
        <w:rPr>
          <w:rFonts w:hint="eastAsia"/>
        </w:rPr>
        <w:t>顶的银酒令纛。虽然〝瓢針司南酌〞实物本身难以留存，它化身的酒文化中行使权力的</w:t>
      </w:r>
      <w:proofErr w:type="gramStart"/>
      <w:r w:rsidRPr="00075295">
        <w:rPr>
          <w:rFonts w:hint="eastAsia"/>
        </w:rPr>
        <w:t>的</w:t>
      </w:r>
      <w:proofErr w:type="gramEnd"/>
      <w:r w:rsidRPr="00075295">
        <w:rPr>
          <w:rFonts w:hint="eastAsia"/>
        </w:rPr>
        <w:t>銀酒令纛，对传世文献記载是有力的支持。作为实体司南的〝正觉之司南〞，正是具有天性指南的造化柄的水浮司南酌。</w:t>
      </w:r>
      <w:r w:rsidRPr="00075295">
        <w:rPr>
          <w:rFonts w:hint="eastAsia"/>
        </w:rPr>
        <w:endnoteReference w:id="35"/>
      </w:r>
      <w:r w:rsidRPr="00075295">
        <w:rPr>
          <w:rFonts w:hint="eastAsia"/>
        </w:rPr>
        <w:t xml:space="preserve"> </w:t>
      </w:r>
    </w:p>
    <w:p w:rsidR="00075295" w:rsidRPr="00075295" w:rsidRDefault="00075295" w:rsidP="00075295">
      <w:pPr>
        <w:pStyle w:val="afc"/>
        <w:ind w:firstLine="560"/>
      </w:pPr>
      <w:r w:rsidRPr="00075295">
        <w:rPr>
          <w:rFonts w:hint="eastAsia"/>
        </w:rPr>
        <w:t>进一步考察银酒令</w:t>
      </w:r>
      <w:proofErr w:type="gramStart"/>
      <w:r w:rsidRPr="00075295">
        <w:rPr>
          <w:rFonts w:hint="eastAsia"/>
        </w:rPr>
        <w:t>纛</w:t>
      </w:r>
      <w:proofErr w:type="gramEnd"/>
      <w:r w:rsidRPr="00075295">
        <w:rPr>
          <w:rFonts w:hint="eastAsia"/>
        </w:rPr>
        <w:t>上</w:t>
      </w:r>
      <w:proofErr w:type="gramStart"/>
      <w:r w:rsidRPr="00075295">
        <w:rPr>
          <w:rFonts w:hint="eastAsia"/>
        </w:rPr>
        <w:t>的针矛葫</w:t>
      </w:r>
      <w:proofErr w:type="gramEnd"/>
      <w:r w:rsidRPr="00075295">
        <w:rPr>
          <w:rFonts w:hint="eastAsia"/>
        </w:rPr>
        <w:t>芦形顶，还可发现，银酒令纛上留下了“瓢针司南酌”向</w:t>
      </w:r>
      <w:proofErr w:type="gramStart"/>
      <w:r w:rsidRPr="00075295">
        <w:rPr>
          <w:rFonts w:hint="eastAsia"/>
        </w:rPr>
        <w:t>针碗浮</w:t>
      </w:r>
      <w:proofErr w:type="gramEnd"/>
      <w:r w:rsidRPr="00075295">
        <w:rPr>
          <w:rFonts w:hint="eastAsia"/>
        </w:rPr>
        <w:t>针过渡的痕迹。</w:t>
      </w:r>
      <w:proofErr w:type="gramStart"/>
      <w:r w:rsidRPr="00075295">
        <w:rPr>
          <w:rFonts w:hint="eastAsia"/>
        </w:rPr>
        <w:t>针矛葫芦</w:t>
      </w:r>
      <w:proofErr w:type="gramEnd"/>
      <w:r w:rsidRPr="00075295">
        <w:rPr>
          <w:rFonts w:hint="eastAsia"/>
        </w:rPr>
        <w:t>形顶的葫芦化为三截，</w:t>
      </w:r>
      <w:proofErr w:type="gramStart"/>
      <w:r w:rsidRPr="00075295">
        <w:rPr>
          <w:rFonts w:hint="eastAsia"/>
        </w:rPr>
        <w:t>活</w:t>
      </w:r>
      <w:proofErr w:type="gramEnd"/>
      <w:r w:rsidRPr="00075295">
        <w:rPr>
          <w:rFonts w:hint="eastAsia"/>
        </w:rPr>
        <w:t>象</w:t>
      </w:r>
      <w:proofErr w:type="gramStart"/>
      <w:r w:rsidRPr="00075295">
        <w:rPr>
          <w:rFonts w:hint="eastAsia"/>
        </w:rPr>
        <w:t>针碗浮</w:t>
      </w:r>
      <w:proofErr w:type="gramEnd"/>
      <w:r w:rsidRPr="00075295">
        <w:rPr>
          <w:rFonts w:hint="eastAsia"/>
        </w:rPr>
        <w:t>针的造型，暗示“瓢针司南酌”确是宋元针</w:t>
      </w:r>
      <w:proofErr w:type="gramStart"/>
      <w:r w:rsidRPr="00075295">
        <w:rPr>
          <w:rFonts w:hint="eastAsia"/>
        </w:rPr>
        <w:t>碗浮针</w:t>
      </w:r>
      <w:proofErr w:type="gramEnd"/>
      <w:r w:rsidRPr="00075295">
        <w:rPr>
          <w:rFonts w:hint="eastAsia"/>
        </w:rPr>
        <w:t>的前身。</w:t>
      </w:r>
    </w:p>
    <w:p w:rsidR="00075295" w:rsidRPr="00075295" w:rsidRDefault="00075295" w:rsidP="00075295">
      <w:pPr>
        <w:pStyle w:val="afc"/>
        <w:ind w:firstLine="560"/>
      </w:pPr>
      <w:r w:rsidRPr="00075295">
        <w:rPr>
          <w:rFonts w:hint="eastAsia"/>
        </w:rPr>
        <w:t>随着研究的深入，越来越多的证据表明</w:t>
      </w:r>
      <w:r w:rsidRPr="00075295">
        <w:t>：古代确实发明了《论衡》称之为“司南之酌”</w:t>
      </w:r>
      <w:proofErr w:type="gramStart"/>
      <w:r w:rsidRPr="00075295">
        <w:t>的瓢针司南</w:t>
      </w:r>
      <w:proofErr w:type="gramEnd"/>
      <w:r w:rsidRPr="00075295">
        <w:t>酌。</w:t>
      </w:r>
    </w:p>
    <w:p w:rsidR="00BF33FE" w:rsidRDefault="00BF33FE" w:rsidP="00075295">
      <w:bookmarkStart w:id="1" w:name="_GoBack"/>
      <w:bookmarkEnd w:id="1"/>
    </w:p>
    <w:p w:rsidR="00C01DC0" w:rsidRPr="00FA5A47" w:rsidRDefault="00C01DC0" w:rsidP="00FA5A47">
      <w:pPr>
        <w:pStyle w:val="afc"/>
        <w:ind w:firstLine="562"/>
        <w:rPr>
          <w:b/>
        </w:rPr>
      </w:pPr>
      <w:r w:rsidRPr="00FA5A47">
        <w:rPr>
          <w:rFonts w:hint="eastAsia"/>
          <w:b/>
        </w:rPr>
        <w:t>說明：本文即</w:t>
      </w:r>
      <w:proofErr w:type="gramStart"/>
      <w:r w:rsidRPr="00FA5A47">
        <w:rPr>
          <w:rFonts w:hint="eastAsia"/>
          <w:b/>
        </w:rPr>
        <w:t>將</w:t>
      </w:r>
      <w:proofErr w:type="gramEnd"/>
      <w:r w:rsidRPr="00FA5A47">
        <w:rPr>
          <w:rFonts w:hint="eastAsia"/>
          <w:b/>
        </w:rPr>
        <w:t>刊於《中國訓詁學報》第四輯</w:t>
      </w:r>
      <w:r w:rsidR="00FA5A47" w:rsidRPr="00FA5A47">
        <w:rPr>
          <w:rFonts w:hint="eastAsia"/>
          <w:b/>
        </w:rPr>
        <w:t>。</w:t>
      </w:r>
      <w:bookmarkEnd w:id="0"/>
    </w:p>
    <w:sectPr w:rsidR="00C01DC0" w:rsidRPr="00FA5A47">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FFA" w:rsidRDefault="00DD3FFA">
      <w:r>
        <w:separator/>
      </w:r>
    </w:p>
  </w:endnote>
  <w:endnote w:type="continuationSeparator" w:id="0">
    <w:p w:rsidR="00DD3FFA" w:rsidRDefault="00DD3FFA">
      <w:r>
        <w:continuationSeparator/>
      </w:r>
    </w:p>
  </w:endnote>
  <w:endnote w:id="1">
    <w:p w:rsidR="00075295" w:rsidRPr="00075295" w:rsidRDefault="00075295" w:rsidP="00075295">
      <w:r w:rsidRPr="00075295">
        <w:endnoteRef/>
      </w:r>
      <w:r w:rsidRPr="00075295">
        <w:tab/>
        <w:t xml:space="preserve"> 闻人军：</w:t>
      </w:r>
      <w:r w:rsidRPr="00075295">
        <w:rPr>
          <w:rFonts w:hint="eastAsia"/>
        </w:rPr>
        <w:t>《原始水浮指南针的发明－－〝瓢针司南酌〞之发现》，《自然科学史研究》2015年第4期，450-460页。</w:t>
      </w:r>
    </w:p>
  </w:endnote>
  <w:endnote w:id="2">
    <w:p w:rsidR="00075295" w:rsidRPr="00075295" w:rsidRDefault="00075295" w:rsidP="00075295">
      <w:r w:rsidRPr="00075295">
        <w:endnoteRef/>
      </w:r>
      <w:r w:rsidRPr="00075295">
        <w:tab/>
        <w:t xml:space="preserve"> 闻人军：《司南酌和指南鱼、针碗浮针传承关系考》，载</w:t>
      </w:r>
      <w:r w:rsidRPr="00075295">
        <w:rPr>
          <w:rFonts w:hint="eastAsia"/>
        </w:rPr>
        <w:t>《考工司南》，上海：上海古籍出版社，2017年，262-267页。</w:t>
      </w:r>
    </w:p>
  </w:endnote>
  <w:endnote w:id="3">
    <w:p w:rsidR="00075295" w:rsidRPr="00075295" w:rsidRDefault="00075295" w:rsidP="00075295">
      <w:r w:rsidRPr="00075295">
        <w:endnoteRef/>
      </w:r>
      <w:r w:rsidRPr="00075295">
        <w:tab/>
        <w:t xml:space="preserve"> </w:t>
      </w:r>
      <w:r w:rsidRPr="00075295">
        <w:rPr>
          <w:rFonts w:hint="eastAsia"/>
        </w:rPr>
        <w:t>张荫麟：《中国历史上之〝奇器〞及其作者》，《燕京学报》第3期，1928年，359-381页。</w:t>
      </w:r>
    </w:p>
  </w:endnote>
  <w:endnote w:id="4">
    <w:p w:rsidR="00075295" w:rsidRPr="00075295" w:rsidRDefault="00075295" w:rsidP="00075295">
      <w:r w:rsidRPr="00075295">
        <w:endnoteRef/>
      </w:r>
      <w:r w:rsidRPr="00075295">
        <w:tab/>
        <w:t xml:space="preserve"> </w:t>
      </w:r>
      <w:r w:rsidRPr="00075295">
        <w:rPr>
          <w:rFonts w:hint="eastAsia"/>
        </w:rPr>
        <w:t>王振铎：《司南、指南针与罗经盘(上)》，《中国考古学报》第3期，1948年，119-260页。</w:t>
      </w:r>
    </w:p>
  </w:endnote>
  <w:endnote w:id="5">
    <w:p w:rsidR="00075295" w:rsidRPr="00075295" w:rsidRDefault="00075295" w:rsidP="00075295">
      <w:r w:rsidRPr="00075295">
        <w:endnoteRef/>
      </w:r>
      <w:r w:rsidRPr="00075295">
        <w:tab/>
        <w:t xml:space="preserve"> 刘亦丰、刘亦未、</w:t>
      </w:r>
      <w:r w:rsidRPr="00075295">
        <w:rPr>
          <w:rFonts w:hint="eastAsia"/>
        </w:rPr>
        <w:t>刘秉正：《司南指南文献新考》，《自然辩证法通讯》2010年第5期，54-59页。</w:t>
      </w:r>
    </w:p>
  </w:endnote>
  <w:endnote w:id="6">
    <w:p w:rsidR="00075295" w:rsidRPr="00075295" w:rsidRDefault="00075295" w:rsidP="00075295">
      <w:r w:rsidRPr="00075295">
        <w:endnoteRef/>
      </w:r>
      <w:r w:rsidRPr="00075295">
        <w:tab/>
        <w:t xml:space="preserve"> </w:t>
      </w:r>
      <w:r w:rsidRPr="00075295">
        <w:rPr>
          <w:rFonts w:hint="eastAsia"/>
        </w:rPr>
        <w:t>北京大学历史系《论衡》注释小组：《论衡注释》，北京：中华书局，1979年，1003页。</w:t>
      </w:r>
    </w:p>
  </w:endnote>
  <w:endnote w:id="7">
    <w:p w:rsidR="00075295" w:rsidRPr="00075295" w:rsidRDefault="00075295" w:rsidP="00075295">
      <w:r w:rsidRPr="00075295">
        <w:endnoteRef/>
      </w:r>
      <w:r w:rsidRPr="00075295">
        <w:tab/>
        <w:t xml:space="preserve"> </w:t>
      </w:r>
      <w:r w:rsidRPr="00075295">
        <w:rPr>
          <w:rFonts w:hint="eastAsia"/>
        </w:rPr>
        <w:t>袁华忠、</w:t>
      </w:r>
      <w:proofErr w:type="gramStart"/>
      <w:r w:rsidRPr="00075295">
        <w:rPr>
          <w:rFonts w:hint="eastAsia"/>
        </w:rPr>
        <w:t>方家常</w:t>
      </w:r>
      <w:proofErr w:type="gramEnd"/>
      <w:r w:rsidRPr="00075295">
        <w:rPr>
          <w:rFonts w:hint="eastAsia"/>
        </w:rPr>
        <w:t>译注：《论衡全译》，贵阳：贵州人民出版社，1993年，1077页。</w:t>
      </w:r>
    </w:p>
  </w:endnote>
  <w:endnote w:id="8">
    <w:p w:rsidR="00075295" w:rsidRPr="00075295" w:rsidRDefault="00075295" w:rsidP="00075295">
      <w:r w:rsidRPr="00075295">
        <w:endnoteRef/>
      </w:r>
      <w:r w:rsidRPr="00075295">
        <w:tab/>
        <w:t xml:space="preserve"> </w:t>
      </w:r>
      <w:r w:rsidRPr="00075295">
        <w:rPr>
          <w:rFonts w:hint="eastAsia"/>
        </w:rPr>
        <w:t>李志超：《王充司南新解》，《自然科学史研究》2004年第4期，364-365页。</w:t>
      </w:r>
    </w:p>
  </w:endnote>
  <w:endnote w:id="9">
    <w:p w:rsidR="00075295" w:rsidRPr="00075295" w:rsidRDefault="00075295" w:rsidP="00075295">
      <w:r w:rsidRPr="00075295">
        <w:endnoteRef/>
      </w:r>
      <w:r w:rsidRPr="00075295">
        <w:tab/>
        <w:t xml:space="preserve"> </w:t>
      </w:r>
      <w:r w:rsidRPr="00075295">
        <w:rPr>
          <w:rFonts w:hint="eastAsia"/>
        </w:rPr>
        <w:t>孙机：《简论〝司南〞兼及〝司南佩〞》，《中国历史文物》2005年第4期，4-11页。</w:t>
      </w:r>
    </w:p>
  </w:endnote>
  <w:endnote w:id="10">
    <w:p w:rsidR="00075295" w:rsidRPr="00075295" w:rsidRDefault="00075295" w:rsidP="00075295">
      <w:r w:rsidRPr="00075295">
        <w:endnoteRef/>
      </w:r>
      <w:r w:rsidRPr="00075295">
        <w:tab/>
        <w:t xml:space="preserve"> </w:t>
      </w:r>
      <w:r w:rsidRPr="00075295">
        <w:rPr>
          <w:rFonts w:hint="eastAsia"/>
        </w:rPr>
        <w:t>程军：《〝司南〞词意探源》，《博物馆研究》2007年第3期，38-39页。</w:t>
      </w:r>
    </w:p>
  </w:endnote>
  <w:endnote w:id="11">
    <w:p w:rsidR="00075295" w:rsidRPr="00075295" w:rsidRDefault="00075295" w:rsidP="00075295">
      <w:r w:rsidRPr="00075295">
        <w:endnoteRef/>
      </w:r>
      <w:r w:rsidRPr="00075295">
        <w:tab/>
        <w:t xml:space="preserve"> </w:t>
      </w:r>
      <w:r w:rsidRPr="00075295">
        <w:rPr>
          <w:rFonts w:hint="eastAsia"/>
        </w:rPr>
        <w:t>黄兴：《天然磁石勺〝司南〞实证研究》，《自然科学史研究》2017年第3期，361-386页。</w:t>
      </w:r>
    </w:p>
  </w:endnote>
  <w:endnote w:id="12">
    <w:p w:rsidR="00075295" w:rsidRPr="00075295" w:rsidRDefault="00075295" w:rsidP="00075295">
      <w:r w:rsidRPr="00075295">
        <w:endnoteRef/>
      </w:r>
      <w:r w:rsidRPr="00075295">
        <w:tab/>
        <w:t xml:space="preserve"> </w:t>
      </w:r>
      <w:r w:rsidRPr="00075295">
        <w:rPr>
          <w:rFonts w:hint="eastAsia"/>
        </w:rPr>
        <w:t>张宗祥校注、郑绍昌标点：《论衡校注》，上海：上海古籍出版社，2010年，596,599页。</w:t>
      </w:r>
    </w:p>
  </w:endnote>
  <w:endnote w:id="13">
    <w:p w:rsidR="00075295" w:rsidRPr="00075295" w:rsidRDefault="00075295" w:rsidP="00075295">
      <w:r w:rsidRPr="00075295">
        <w:endnoteRef/>
      </w:r>
      <w:r w:rsidRPr="00075295">
        <w:tab/>
        <w:t xml:space="preserve"> 闻人军：</w:t>
      </w:r>
      <w:r w:rsidRPr="00075295">
        <w:rPr>
          <w:rFonts w:hint="eastAsia"/>
        </w:rPr>
        <w:t>《〝司南之酌〞辩证及〝北斗说〞证误》，《经学文献研究集刊》第18辑，上海：上海书店出版社，2017年，20-36页。</w:t>
      </w:r>
    </w:p>
  </w:endnote>
  <w:endnote w:id="14">
    <w:p w:rsidR="00075295" w:rsidRPr="00075295" w:rsidRDefault="00075295" w:rsidP="00075295">
      <w:r w:rsidRPr="00075295">
        <w:endnoteRef/>
      </w:r>
      <w:r w:rsidRPr="00075295">
        <w:tab/>
        <w:t xml:space="preserve">  </w:t>
      </w:r>
      <w:r w:rsidRPr="00075295">
        <w:rPr>
          <w:rFonts w:hint="eastAsia"/>
        </w:rPr>
        <w:t>杨琳：《勺形司南未可轻易否定》，《自然辩证法通讯》2016年第3期，84-87页。</w:t>
      </w:r>
    </w:p>
  </w:endnote>
  <w:endnote w:id="15">
    <w:p w:rsidR="00075295" w:rsidRPr="00075295" w:rsidRDefault="00075295" w:rsidP="00075295">
      <w:r w:rsidRPr="00075295">
        <w:endnoteRef/>
      </w:r>
      <w:r w:rsidRPr="00075295">
        <w:tab/>
        <w:t xml:space="preserve"> </w:t>
      </w:r>
      <w:r w:rsidRPr="00075295">
        <w:rPr>
          <w:rFonts w:hint="eastAsia"/>
        </w:rPr>
        <w:t>黄兴：《天然磁石勺〝司南〞实证研究》。</w:t>
      </w:r>
    </w:p>
  </w:endnote>
  <w:endnote w:id="16">
    <w:p w:rsidR="00075295" w:rsidRPr="00075295" w:rsidRDefault="00075295" w:rsidP="00075295">
      <w:r w:rsidRPr="00075295">
        <w:endnoteRef/>
      </w:r>
      <w:r w:rsidRPr="00075295">
        <w:tab/>
        <w:t xml:space="preserve">  </w:t>
      </w:r>
      <w:r w:rsidRPr="00075295">
        <w:rPr>
          <w:rFonts w:hint="eastAsia"/>
        </w:rPr>
        <w:t>王弼著、</w:t>
      </w:r>
      <w:proofErr w:type="gramStart"/>
      <w:r w:rsidRPr="00075295">
        <w:rPr>
          <w:rFonts w:hint="eastAsia"/>
        </w:rPr>
        <w:t>邢</w:t>
      </w:r>
      <w:proofErr w:type="gramEnd"/>
      <w:r w:rsidRPr="00075295">
        <w:rPr>
          <w:rFonts w:hint="eastAsia"/>
        </w:rPr>
        <w:t>璹注：《周易略例》卷</w:t>
      </w:r>
      <w:proofErr w:type="gramStart"/>
      <w:r w:rsidRPr="00075295">
        <w:rPr>
          <w:rFonts w:hint="eastAsia"/>
        </w:rPr>
        <w:t>一</w:t>
      </w:r>
      <w:proofErr w:type="gramEnd"/>
      <w:r w:rsidRPr="00075295">
        <w:rPr>
          <w:rFonts w:hint="eastAsia"/>
        </w:rPr>
        <w:t>，范氏奇书本，6a页。</w:t>
      </w:r>
    </w:p>
  </w:endnote>
  <w:endnote w:id="17">
    <w:p w:rsidR="00075295" w:rsidRPr="00075295" w:rsidRDefault="00075295" w:rsidP="00075295">
      <w:r w:rsidRPr="00075295">
        <w:endnoteRef/>
      </w:r>
      <w:r w:rsidRPr="00075295">
        <w:tab/>
        <w:t xml:space="preserve">  </w:t>
      </w:r>
      <w:proofErr w:type="gramStart"/>
      <w:r w:rsidRPr="00075295">
        <w:rPr>
          <w:rFonts w:hint="eastAsia"/>
        </w:rPr>
        <w:t>玄装口述</w:t>
      </w:r>
      <w:proofErr w:type="gramEnd"/>
      <w:r w:rsidRPr="00075295">
        <w:rPr>
          <w:rFonts w:hint="eastAsia"/>
        </w:rPr>
        <w:t>、辩</w:t>
      </w:r>
      <w:proofErr w:type="gramStart"/>
      <w:r w:rsidRPr="00075295">
        <w:rPr>
          <w:rFonts w:hint="eastAsia"/>
        </w:rPr>
        <w:t>机笔受</w:t>
      </w:r>
      <w:proofErr w:type="gramEnd"/>
      <w:r w:rsidRPr="00075295">
        <w:rPr>
          <w:rFonts w:hint="eastAsia"/>
        </w:rPr>
        <w:t>：《大唐西域记》卷十，</w:t>
      </w:r>
      <w:proofErr w:type="gramStart"/>
      <w:r w:rsidRPr="00075295">
        <w:rPr>
          <w:rFonts w:hint="eastAsia"/>
        </w:rPr>
        <w:t>四库全</w:t>
      </w:r>
      <w:proofErr w:type="gramEnd"/>
      <w:r w:rsidRPr="00075295">
        <w:rPr>
          <w:rFonts w:hint="eastAsia"/>
        </w:rPr>
        <w:t>书本，15a页。</w:t>
      </w:r>
    </w:p>
  </w:endnote>
  <w:endnote w:id="18">
    <w:p w:rsidR="00075295" w:rsidRPr="00075295" w:rsidRDefault="00075295" w:rsidP="00075295">
      <w:r w:rsidRPr="00075295">
        <w:endnoteRef/>
      </w:r>
      <w:r w:rsidRPr="00075295">
        <w:tab/>
        <w:t xml:space="preserve">  </w:t>
      </w:r>
      <w:r w:rsidRPr="00075295">
        <w:rPr>
          <w:rFonts w:hint="eastAsia"/>
        </w:rPr>
        <w:t>段成式著，</w:t>
      </w:r>
      <w:proofErr w:type="gramStart"/>
      <w:r w:rsidRPr="00075295">
        <w:rPr>
          <w:rFonts w:hint="eastAsia"/>
        </w:rPr>
        <w:t>方南生</w:t>
      </w:r>
      <w:proofErr w:type="gramEnd"/>
      <w:r w:rsidRPr="00075295">
        <w:rPr>
          <w:rFonts w:hint="eastAsia"/>
        </w:rPr>
        <w:t>点校：《酉阳杂俎》续集卷五，北京：中华书局，19</w:t>
      </w:r>
      <w:r w:rsidRPr="00075295">
        <w:t>81</w:t>
      </w:r>
      <w:r w:rsidRPr="00075295">
        <w:rPr>
          <w:rFonts w:hint="eastAsia"/>
        </w:rPr>
        <w:t>年，</w:t>
      </w:r>
      <w:r w:rsidRPr="00075295">
        <w:t>246</w:t>
      </w:r>
      <w:r w:rsidRPr="00075295">
        <w:rPr>
          <w:rFonts w:hint="eastAsia"/>
        </w:rPr>
        <w:t>页。</w:t>
      </w:r>
    </w:p>
  </w:endnote>
  <w:endnote w:id="19">
    <w:p w:rsidR="00075295" w:rsidRPr="00075295" w:rsidRDefault="00075295" w:rsidP="00075295">
      <w:r w:rsidRPr="00075295">
        <w:endnoteRef/>
      </w:r>
      <w:r w:rsidRPr="00075295">
        <w:tab/>
        <w:t xml:space="preserve"> </w:t>
      </w:r>
      <w:r w:rsidRPr="00075295">
        <w:rPr>
          <w:rFonts w:hint="eastAsia"/>
        </w:rPr>
        <w:t>徐用</w:t>
      </w:r>
      <w:proofErr w:type="gramStart"/>
      <w:r w:rsidRPr="00075295">
        <w:rPr>
          <w:rFonts w:hint="eastAsia"/>
        </w:rPr>
        <w:t>诚原辑</w:t>
      </w:r>
      <w:proofErr w:type="gramEnd"/>
      <w:r w:rsidRPr="00075295">
        <w:rPr>
          <w:rFonts w:hint="eastAsia"/>
        </w:rPr>
        <w:t>、刘纯续增：《玉机微义》卷十，</w:t>
      </w:r>
      <w:proofErr w:type="gramStart"/>
      <w:r w:rsidRPr="00075295">
        <w:rPr>
          <w:rFonts w:hint="eastAsia"/>
        </w:rPr>
        <w:t>四库全</w:t>
      </w:r>
      <w:proofErr w:type="gramEnd"/>
      <w:r w:rsidRPr="00075295">
        <w:rPr>
          <w:rFonts w:hint="eastAsia"/>
        </w:rPr>
        <w:t>书本，23a页。</w:t>
      </w:r>
    </w:p>
  </w:endnote>
  <w:endnote w:id="20">
    <w:p w:rsidR="00075295" w:rsidRPr="00075295" w:rsidRDefault="00075295" w:rsidP="00075295">
      <w:r w:rsidRPr="00075295">
        <w:endnoteRef/>
      </w:r>
      <w:r w:rsidRPr="00075295">
        <w:tab/>
        <w:t xml:space="preserve"> </w:t>
      </w:r>
      <w:r w:rsidRPr="00075295">
        <w:rPr>
          <w:rFonts w:hint="eastAsia"/>
        </w:rPr>
        <w:t>孙一奎：《赤水元珠》卷</w:t>
      </w:r>
      <w:proofErr w:type="gramStart"/>
      <w:r w:rsidRPr="00075295">
        <w:rPr>
          <w:rFonts w:hint="eastAsia"/>
        </w:rPr>
        <w:t>一</w:t>
      </w:r>
      <w:proofErr w:type="gramEnd"/>
      <w:r w:rsidRPr="00075295">
        <w:rPr>
          <w:rFonts w:hint="eastAsia"/>
        </w:rPr>
        <w:t>，</w:t>
      </w:r>
      <w:proofErr w:type="gramStart"/>
      <w:r w:rsidRPr="00075295">
        <w:rPr>
          <w:rFonts w:hint="eastAsia"/>
        </w:rPr>
        <w:t>四库全</w:t>
      </w:r>
      <w:proofErr w:type="gramEnd"/>
      <w:r w:rsidRPr="00075295">
        <w:rPr>
          <w:rFonts w:hint="eastAsia"/>
        </w:rPr>
        <w:t>书本，73a页。</w:t>
      </w:r>
    </w:p>
  </w:endnote>
  <w:endnote w:id="21">
    <w:p w:rsidR="00075295" w:rsidRPr="00075295" w:rsidRDefault="00075295" w:rsidP="00075295">
      <w:r w:rsidRPr="00075295">
        <w:endnoteRef/>
      </w:r>
      <w:r w:rsidRPr="00075295">
        <w:tab/>
        <w:t xml:space="preserve"> </w:t>
      </w:r>
      <w:proofErr w:type="gramStart"/>
      <w:r w:rsidRPr="00075295">
        <w:rPr>
          <w:rFonts w:hint="eastAsia"/>
        </w:rPr>
        <w:t>汪维辉</w:t>
      </w:r>
      <w:proofErr w:type="gramEnd"/>
      <w:r w:rsidRPr="00075295">
        <w:t>：</w:t>
      </w:r>
      <w:r w:rsidRPr="00075295">
        <w:rPr>
          <w:rFonts w:hint="eastAsia"/>
        </w:rPr>
        <w:t>《训诂基本原则例说》，《汉字汉语研究》，</w:t>
      </w:r>
      <w:r w:rsidRPr="00075295">
        <w:t>2018</w:t>
      </w:r>
      <w:r w:rsidRPr="00075295">
        <w:rPr>
          <w:rFonts w:hint="eastAsia"/>
        </w:rPr>
        <w:t xml:space="preserve">年第1期， </w:t>
      </w:r>
      <w:r w:rsidRPr="00075295">
        <w:t>75-94</w:t>
      </w:r>
      <w:r w:rsidRPr="00075295">
        <w:rPr>
          <w:rFonts w:hint="eastAsia"/>
        </w:rPr>
        <w:t>页。</w:t>
      </w:r>
    </w:p>
  </w:endnote>
  <w:endnote w:id="22">
    <w:p w:rsidR="00075295" w:rsidRPr="00075295" w:rsidRDefault="00075295" w:rsidP="00075295">
      <w:r w:rsidRPr="00075295">
        <w:endnoteRef/>
      </w:r>
      <w:r w:rsidRPr="00075295">
        <w:tab/>
        <w:t xml:space="preserve">  </w:t>
      </w:r>
      <w:r w:rsidRPr="00075295">
        <w:rPr>
          <w:rFonts w:hint="eastAsia"/>
        </w:rPr>
        <w:t>黄晖：《论衡校释》(</w:t>
      </w:r>
      <w:proofErr w:type="gramStart"/>
      <w:r w:rsidRPr="00075295">
        <w:rPr>
          <w:rFonts w:hint="eastAsia"/>
        </w:rPr>
        <w:t>附刘盼遂</w:t>
      </w:r>
      <w:proofErr w:type="gramEnd"/>
      <w:r w:rsidRPr="00075295">
        <w:rPr>
          <w:rFonts w:hint="eastAsia"/>
        </w:rPr>
        <w:t>集解)，北京：中华书局，1990年，719页。</w:t>
      </w:r>
    </w:p>
  </w:endnote>
  <w:endnote w:id="23">
    <w:p w:rsidR="00075295" w:rsidRPr="00075295" w:rsidRDefault="00075295" w:rsidP="00075295">
      <w:r w:rsidRPr="00075295">
        <w:endnoteRef/>
      </w:r>
      <w:r w:rsidRPr="00075295">
        <w:tab/>
        <w:t xml:space="preserve">  </w:t>
      </w:r>
      <w:r w:rsidRPr="00075295">
        <w:rPr>
          <w:rFonts w:hint="eastAsia"/>
        </w:rPr>
        <w:t>袁华忠、</w:t>
      </w:r>
      <w:proofErr w:type="gramStart"/>
      <w:r w:rsidRPr="00075295">
        <w:rPr>
          <w:rFonts w:hint="eastAsia"/>
        </w:rPr>
        <w:t>方家常</w:t>
      </w:r>
      <w:proofErr w:type="gramEnd"/>
      <w:r w:rsidRPr="00075295">
        <w:rPr>
          <w:rFonts w:hint="eastAsia"/>
        </w:rPr>
        <w:t>译注：《论衡全译》，1011页。</w:t>
      </w:r>
    </w:p>
  </w:endnote>
  <w:endnote w:id="24">
    <w:p w:rsidR="00075295" w:rsidRPr="00075295" w:rsidRDefault="00075295" w:rsidP="00075295">
      <w:r w:rsidRPr="00075295">
        <w:endnoteRef/>
      </w:r>
      <w:r w:rsidRPr="00075295">
        <w:tab/>
        <w:t xml:space="preserve">  黄晖：</w:t>
      </w:r>
      <w:r w:rsidRPr="00075295">
        <w:rPr>
          <w:rFonts w:hint="eastAsia"/>
        </w:rPr>
        <w:t>《论衡校释》，623页。</w:t>
      </w:r>
    </w:p>
  </w:endnote>
  <w:endnote w:id="25">
    <w:p w:rsidR="00075295" w:rsidRPr="00075295" w:rsidRDefault="00075295" w:rsidP="00075295">
      <w:r w:rsidRPr="00075295">
        <w:endnoteRef/>
      </w:r>
      <w:r w:rsidRPr="00075295">
        <w:tab/>
        <w:t xml:space="preserve">  </w:t>
      </w:r>
      <w:r w:rsidRPr="00075295">
        <w:rPr>
          <w:rFonts w:hint="eastAsia"/>
        </w:rPr>
        <w:t>戴念祖：《中国古代物理学》，台北：台湾商务印书馆，1994年, 27-28页。</w:t>
      </w:r>
    </w:p>
  </w:endnote>
  <w:endnote w:id="26">
    <w:p w:rsidR="00075295" w:rsidRPr="00075295" w:rsidRDefault="00075295" w:rsidP="00075295">
      <w:r w:rsidRPr="00075295">
        <w:endnoteRef/>
      </w:r>
      <w:r w:rsidRPr="00075295">
        <w:tab/>
        <w:t xml:space="preserve">  </w:t>
      </w:r>
      <w:r w:rsidRPr="00075295">
        <w:rPr>
          <w:rFonts w:hint="eastAsia"/>
        </w:rPr>
        <w:t>吴从祥：《王充经学思想研究》，北京：中国社会科学出版社，2012年，364-365页。</w:t>
      </w:r>
    </w:p>
  </w:endnote>
  <w:endnote w:id="27">
    <w:p w:rsidR="00075295" w:rsidRPr="00075295" w:rsidRDefault="00075295" w:rsidP="00075295">
      <w:r w:rsidRPr="00075295">
        <w:endnoteRef/>
      </w:r>
      <w:r w:rsidRPr="00075295">
        <w:tab/>
        <w:t xml:space="preserve"> </w:t>
      </w:r>
      <w:r w:rsidRPr="00075295">
        <w:rPr>
          <w:rFonts w:hint="eastAsia"/>
        </w:rPr>
        <w:t>黄兴：《天然磁石勺〝司南〞实证研究》。</w:t>
      </w:r>
    </w:p>
  </w:endnote>
  <w:endnote w:id="28">
    <w:p w:rsidR="00075295" w:rsidRPr="00075295" w:rsidRDefault="00075295" w:rsidP="00075295">
      <w:r w:rsidRPr="00075295">
        <w:endnoteRef/>
      </w:r>
      <w:r w:rsidRPr="00075295">
        <w:tab/>
        <w:t xml:space="preserve">  康晓玮：《〈鬼谷子〉真伪考略》</w:t>
      </w:r>
      <w:r w:rsidRPr="00075295">
        <w:rPr>
          <w:rFonts w:hint="eastAsia"/>
        </w:rPr>
        <w:t>，郑州大学2012年硕士学位论文，23页。</w:t>
      </w:r>
    </w:p>
  </w:endnote>
  <w:endnote w:id="29">
    <w:p w:rsidR="00075295" w:rsidRPr="00075295" w:rsidRDefault="00075295" w:rsidP="00075295">
      <w:r w:rsidRPr="00075295">
        <w:endnoteRef/>
      </w:r>
      <w:r w:rsidRPr="00075295">
        <w:tab/>
        <w:t xml:space="preserve">  </w:t>
      </w:r>
      <w:r w:rsidRPr="00075295">
        <w:rPr>
          <w:rFonts w:hint="eastAsia"/>
        </w:rPr>
        <w:t>题（魏）管</w:t>
      </w:r>
      <w:proofErr w:type="gramStart"/>
      <w:r w:rsidRPr="00075295">
        <w:rPr>
          <w:rFonts w:hint="eastAsia"/>
        </w:rPr>
        <w:t>辂</w:t>
      </w:r>
      <w:proofErr w:type="gramEnd"/>
      <w:r w:rsidRPr="00075295">
        <w:rPr>
          <w:rFonts w:hint="eastAsia"/>
        </w:rPr>
        <w:t>撰：《管氏指蒙》，《续修四库全书》第1052册，上海：上海古籍出版社，20</w:t>
      </w:r>
      <w:r w:rsidRPr="00075295">
        <w:t>02</w:t>
      </w:r>
      <w:r w:rsidRPr="00075295">
        <w:rPr>
          <w:rFonts w:hint="eastAsia"/>
        </w:rPr>
        <w:t>年，</w:t>
      </w:r>
      <w:r w:rsidRPr="00075295">
        <w:t>384</w:t>
      </w:r>
      <w:r w:rsidRPr="00075295">
        <w:rPr>
          <w:rFonts w:hint="eastAsia"/>
        </w:rPr>
        <w:t>页。</w:t>
      </w:r>
    </w:p>
  </w:endnote>
  <w:endnote w:id="30">
    <w:p w:rsidR="00075295" w:rsidRPr="00075295" w:rsidRDefault="00075295" w:rsidP="00075295">
      <w:r w:rsidRPr="00075295">
        <w:endnoteRef/>
      </w:r>
      <w:r w:rsidRPr="00075295">
        <w:tab/>
        <w:t xml:space="preserve"> 闻人军：</w:t>
      </w:r>
      <w:r w:rsidRPr="00075295">
        <w:rPr>
          <w:rFonts w:hint="eastAsia"/>
        </w:rPr>
        <w:t>《六朝诗文中的司南酌和指南舟》，载《考工司南》，250-261页。</w:t>
      </w:r>
    </w:p>
  </w:endnote>
  <w:endnote w:id="31">
    <w:p w:rsidR="00075295" w:rsidRPr="00075295" w:rsidRDefault="00075295" w:rsidP="00075295">
      <w:r w:rsidRPr="00075295">
        <w:endnoteRef/>
      </w:r>
      <w:r w:rsidRPr="00075295">
        <w:tab/>
        <w:t xml:space="preserve"> CBETA电子佛典集成《宏智禅师广録》卷二。《大正藏》第48册，Ｎｏ．2001。其纸本来源：侍者法润、</w:t>
      </w:r>
      <w:proofErr w:type="gramStart"/>
      <w:r w:rsidRPr="00075295">
        <w:t>信悟编</w:t>
      </w:r>
      <w:proofErr w:type="gramEnd"/>
      <w:r w:rsidRPr="00075295">
        <w:t>：《泗州普照觉和尚颂古》，收入大正新修大藏经刊行会编：《大正新修大藏经》，（东京）大</w:t>
      </w:r>
      <w:proofErr w:type="gramStart"/>
      <w:r w:rsidRPr="00075295">
        <w:t>藏出版</w:t>
      </w:r>
      <w:proofErr w:type="gramEnd"/>
      <w:r w:rsidRPr="00075295">
        <w:t>株式会社，1988年。</w:t>
      </w:r>
    </w:p>
  </w:endnote>
  <w:endnote w:id="32">
    <w:p w:rsidR="00075295" w:rsidRPr="00075295" w:rsidRDefault="00075295" w:rsidP="00075295">
      <w:r w:rsidRPr="00075295">
        <w:endnoteRef/>
      </w:r>
      <w:r w:rsidRPr="00075295">
        <w:tab/>
        <w:t xml:space="preserve"> 刘亦丰、刘亦未、</w:t>
      </w:r>
      <w:r w:rsidRPr="00075295">
        <w:rPr>
          <w:rFonts w:hint="eastAsia"/>
        </w:rPr>
        <w:t>刘秉正：《司南指南文献新考》。</w:t>
      </w:r>
    </w:p>
  </w:endnote>
  <w:endnote w:id="33">
    <w:p w:rsidR="00075295" w:rsidRPr="00075295" w:rsidRDefault="00075295" w:rsidP="00075295">
      <w:r w:rsidRPr="00075295">
        <w:endnoteRef/>
      </w:r>
      <w:r w:rsidRPr="00075295">
        <w:tab/>
        <w:t xml:space="preserve"> </w:t>
      </w:r>
      <w:r w:rsidRPr="00075295">
        <w:rPr>
          <w:rFonts w:hint="eastAsia"/>
        </w:rPr>
        <w:t>熊梦祥著、北京图书馆善本组辑：《析津志辑佚》，北京古籍出版社，1983年，74页。</w:t>
      </w:r>
    </w:p>
  </w:endnote>
  <w:endnote w:id="34">
    <w:p w:rsidR="00075295" w:rsidRPr="00075295" w:rsidRDefault="00075295" w:rsidP="00075295">
      <w:r w:rsidRPr="00075295">
        <w:endnoteRef/>
      </w:r>
      <w:r w:rsidRPr="00075295">
        <w:tab/>
        <w:t xml:space="preserve"> </w:t>
      </w:r>
      <w:r w:rsidRPr="00075295">
        <w:rPr>
          <w:rFonts w:hint="eastAsia"/>
        </w:rPr>
        <w:t>陆九</w:t>
      </w:r>
      <w:proofErr w:type="gramStart"/>
      <w:r w:rsidRPr="00075295">
        <w:rPr>
          <w:rFonts w:hint="eastAsia"/>
        </w:rPr>
        <w:t>皋</w:t>
      </w:r>
      <w:proofErr w:type="gramEnd"/>
      <w:r w:rsidRPr="00075295">
        <w:rPr>
          <w:rFonts w:hint="eastAsia"/>
        </w:rPr>
        <w:t>、刘兴：《论语玉烛考略》，《文物》1982年第11期，第34-37页。</w:t>
      </w:r>
    </w:p>
  </w:endnote>
  <w:endnote w:id="35">
    <w:p w:rsidR="00075295" w:rsidRPr="00075295" w:rsidRDefault="00075295" w:rsidP="00075295">
      <w:r w:rsidRPr="00075295">
        <w:endnoteRef/>
      </w:r>
      <w:r w:rsidRPr="00075295">
        <w:tab/>
        <w:t xml:space="preserve"> 闻人军：</w:t>
      </w:r>
      <w:r w:rsidRPr="00075295">
        <w:rPr>
          <w:rFonts w:hint="eastAsia"/>
        </w:rPr>
        <w:t>《〝瓢针司南酌〞的考古和文献新证》，《出土文献与古文字研究》第7辑，上海：上海古籍出版社，2018年，437-448页。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Gulim"/>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F33FE" w:rsidRDefault="00BF33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tabs>
        <w:tab w:val="center" w:pos="4153"/>
        <w:tab w:val="right" w:pos="8306"/>
      </w:tabs>
    </w:pPr>
    <w:r>
      <w:rPr>
        <w:rFonts w:hint="eastAsia"/>
        <w:sz w:val="18"/>
        <w:szCs w:val="18"/>
      </w:rPr>
      <w:t>收稿日期：</w:t>
    </w:r>
    <w:r>
      <w:rPr>
        <w:sz w:val="18"/>
        <w:szCs w:val="18"/>
      </w:rPr>
      <w:t>2018</w:t>
    </w:r>
    <w:r>
      <w:rPr>
        <w:rFonts w:hint="eastAsia"/>
        <w:sz w:val="18"/>
        <w:szCs w:val="18"/>
      </w:rPr>
      <w:t>年</w:t>
    </w:r>
    <w:r>
      <w:rPr>
        <w:sz w:val="18"/>
        <w:szCs w:val="18"/>
      </w:rPr>
      <w:t>1</w:t>
    </w:r>
    <w:r w:rsidR="003356D8">
      <w:rPr>
        <w:sz w:val="18"/>
        <w:szCs w:val="18"/>
      </w:rPr>
      <w:t>2月</w:t>
    </w:r>
    <w:r w:rsidR="00075295">
      <w:rPr>
        <w:sz w:val="18"/>
        <w:szCs w:val="18"/>
      </w:rPr>
      <w:t>3</w:t>
    </w:r>
    <w:r w:rsidR="003356D8">
      <w:rPr>
        <w:rFonts w:hint="eastAsia"/>
        <w:sz w:val="18"/>
        <w:szCs w:val="18"/>
      </w:rPr>
      <w:t>日</w:t>
    </w:r>
    <w:r>
      <w:rPr>
        <w:sz w:val="18"/>
        <w:szCs w:val="18"/>
      </w:rPr>
      <w:tab/>
    </w:r>
    <w:r>
      <w:rPr>
        <w:rFonts w:hint="eastAsia"/>
        <w:sz w:val="18"/>
        <w:szCs w:val="18"/>
      </w:rPr>
      <w:t>发布日期：</w:t>
    </w:r>
    <w:r>
      <w:rPr>
        <w:sz w:val="18"/>
        <w:szCs w:val="18"/>
      </w:rPr>
      <w:t>2018</w:t>
    </w:r>
    <w:r>
      <w:rPr>
        <w:rFonts w:hint="eastAsia"/>
        <w:sz w:val="18"/>
        <w:szCs w:val="18"/>
      </w:rPr>
      <w:t>年</w:t>
    </w:r>
    <w:r>
      <w:rPr>
        <w:sz w:val="18"/>
        <w:szCs w:val="18"/>
      </w:rPr>
      <w:t>1</w:t>
    </w:r>
    <w:r w:rsidR="003356D8">
      <w:rPr>
        <w:sz w:val="18"/>
        <w:szCs w:val="18"/>
      </w:rPr>
      <w:t>2</w:t>
    </w:r>
    <w:r>
      <w:rPr>
        <w:rFonts w:hint="eastAsia"/>
        <w:sz w:val="18"/>
        <w:szCs w:val="18"/>
      </w:rPr>
      <w:t>月</w:t>
    </w:r>
    <w:r w:rsidR="003356D8">
      <w:rPr>
        <w:sz w:val="18"/>
        <w:szCs w:val="18"/>
      </w:rPr>
      <w:t>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11</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11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FFA" w:rsidRDefault="00DD3FFA">
      <w:r>
        <w:separator/>
      </w:r>
    </w:p>
  </w:footnote>
  <w:footnote w:type="continuationSeparator" w:id="0">
    <w:p w:rsidR="00DD3FFA" w:rsidRDefault="00DD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FE" w:rsidRDefault="004A1417">
    <w:pPr>
      <w:pStyle w:val="ad"/>
      <w:spacing w:before="240" w:after="240"/>
      <w:ind w:firstLine="436"/>
    </w:pPr>
    <w:r>
      <w:rPr>
        <w:rFonts w:hint="eastAsia"/>
      </w:rPr>
      <w:t>复旦大学出土文献与古文字研究中心网站论文</w:t>
    </w:r>
  </w:p>
  <w:p w:rsidR="00BF33FE" w:rsidRDefault="004A1417">
    <w:pPr>
      <w:pStyle w:val="ad"/>
      <w:spacing w:before="240" w:after="240"/>
      <w:ind w:firstLine="436"/>
    </w:pPr>
    <w:r>
      <w:rPr>
        <w:rFonts w:hint="eastAsia"/>
      </w:rPr>
      <w:t>链接：</w:t>
    </w:r>
    <w:r>
      <w:t>http://www.gwz.fudan.edu.cn/Web/Show/43</w:t>
    </w:r>
    <w:r w:rsidR="00AE6BF2">
      <w:t>5</w:t>
    </w:r>
    <w:r w:rsidR="00075295">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新宋体" w:eastAsia="新宋体" w:hAnsi="新宋体" w:cs="新宋体" w:hint="eastAsia"/>
        <w:bCs/>
        <w:iCs/>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163A"/>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5295"/>
    <w:rsid w:val="00076F82"/>
    <w:rsid w:val="00082D6C"/>
    <w:rsid w:val="00084150"/>
    <w:rsid w:val="000860FF"/>
    <w:rsid w:val="000A4A8F"/>
    <w:rsid w:val="000B02C6"/>
    <w:rsid w:val="000B3534"/>
    <w:rsid w:val="000B3E82"/>
    <w:rsid w:val="000B4C47"/>
    <w:rsid w:val="000B4D71"/>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16B80"/>
    <w:rsid w:val="0012646C"/>
    <w:rsid w:val="00131D4E"/>
    <w:rsid w:val="001332B7"/>
    <w:rsid w:val="001339B8"/>
    <w:rsid w:val="001347BB"/>
    <w:rsid w:val="00135C92"/>
    <w:rsid w:val="00140894"/>
    <w:rsid w:val="00141B59"/>
    <w:rsid w:val="001433AC"/>
    <w:rsid w:val="00156D70"/>
    <w:rsid w:val="001641C2"/>
    <w:rsid w:val="00167A7A"/>
    <w:rsid w:val="001801DC"/>
    <w:rsid w:val="00181DC8"/>
    <w:rsid w:val="0018778C"/>
    <w:rsid w:val="001938D1"/>
    <w:rsid w:val="00194702"/>
    <w:rsid w:val="001957D4"/>
    <w:rsid w:val="00195BA5"/>
    <w:rsid w:val="00196304"/>
    <w:rsid w:val="0019751F"/>
    <w:rsid w:val="001A02A8"/>
    <w:rsid w:val="001A19B2"/>
    <w:rsid w:val="001A4915"/>
    <w:rsid w:val="001A5188"/>
    <w:rsid w:val="001B293E"/>
    <w:rsid w:val="001B3A1B"/>
    <w:rsid w:val="001B3E07"/>
    <w:rsid w:val="001B492F"/>
    <w:rsid w:val="001B682E"/>
    <w:rsid w:val="001B710F"/>
    <w:rsid w:val="001C0EEC"/>
    <w:rsid w:val="001D1713"/>
    <w:rsid w:val="001D2B45"/>
    <w:rsid w:val="001D427D"/>
    <w:rsid w:val="001E6598"/>
    <w:rsid w:val="001F1BFC"/>
    <w:rsid w:val="001F282B"/>
    <w:rsid w:val="002073B6"/>
    <w:rsid w:val="00211416"/>
    <w:rsid w:val="00216AB7"/>
    <w:rsid w:val="002211DE"/>
    <w:rsid w:val="00230ADF"/>
    <w:rsid w:val="00231125"/>
    <w:rsid w:val="002346A0"/>
    <w:rsid w:val="002352DF"/>
    <w:rsid w:val="00237037"/>
    <w:rsid w:val="002372F1"/>
    <w:rsid w:val="00240D78"/>
    <w:rsid w:val="00240EAB"/>
    <w:rsid w:val="0024379F"/>
    <w:rsid w:val="00243FD0"/>
    <w:rsid w:val="002464E0"/>
    <w:rsid w:val="0024748E"/>
    <w:rsid w:val="0025043C"/>
    <w:rsid w:val="002525A4"/>
    <w:rsid w:val="00253015"/>
    <w:rsid w:val="002649A8"/>
    <w:rsid w:val="0027142D"/>
    <w:rsid w:val="002721B5"/>
    <w:rsid w:val="002732E6"/>
    <w:rsid w:val="0027743E"/>
    <w:rsid w:val="002819AA"/>
    <w:rsid w:val="0028213F"/>
    <w:rsid w:val="0028564F"/>
    <w:rsid w:val="00291D8E"/>
    <w:rsid w:val="00292887"/>
    <w:rsid w:val="00294FD3"/>
    <w:rsid w:val="002A1D71"/>
    <w:rsid w:val="002A5820"/>
    <w:rsid w:val="002A6194"/>
    <w:rsid w:val="002B32DA"/>
    <w:rsid w:val="002C20F4"/>
    <w:rsid w:val="002C4C02"/>
    <w:rsid w:val="002C70BF"/>
    <w:rsid w:val="002C7445"/>
    <w:rsid w:val="002D5CCD"/>
    <w:rsid w:val="002D74D8"/>
    <w:rsid w:val="002E2792"/>
    <w:rsid w:val="002E503F"/>
    <w:rsid w:val="002F1FE6"/>
    <w:rsid w:val="002F2D81"/>
    <w:rsid w:val="002F3063"/>
    <w:rsid w:val="00300BB1"/>
    <w:rsid w:val="00311E98"/>
    <w:rsid w:val="00313A1D"/>
    <w:rsid w:val="00317DBF"/>
    <w:rsid w:val="00317E80"/>
    <w:rsid w:val="00324A0C"/>
    <w:rsid w:val="00330794"/>
    <w:rsid w:val="00332FF4"/>
    <w:rsid w:val="00334313"/>
    <w:rsid w:val="003356D8"/>
    <w:rsid w:val="0033589E"/>
    <w:rsid w:val="003367D1"/>
    <w:rsid w:val="003516DF"/>
    <w:rsid w:val="003541B9"/>
    <w:rsid w:val="00355808"/>
    <w:rsid w:val="0036013B"/>
    <w:rsid w:val="00362177"/>
    <w:rsid w:val="00362186"/>
    <w:rsid w:val="003637BF"/>
    <w:rsid w:val="00365AA8"/>
    <w:rsid w:val="00366BDA"/>
    <w:rsid w:val="00373178"/>
    <w:rsid w:val="00374A9D"/>
    <w:rsid w:val="00375FA4"/>
    <w:rsid w:val="00376418"/>
    <w:rsid w:val="00376ECC"/>
    <w:rsid w:val="00377962"/>
    <w:rsid w:val="003804C5"/>
    <w:rsid w:val="00380E0F"/>
    <w:rsid w:val="00381471"/>
    <w:rsid w:val="00382638"/>
    <w:rsid w:val="00382F27"/>
    <w:rsid w:val="003914E2"/>
    <w:rsid w:val="00394082"/>
    <w:rsid w:val="00395D81"/>
    <w:rsid w:val="003A0D1A"/>
    <w:rsid w:val="003A283F"/>
    <w:rsid w:val="003B4B16"/>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0652"/>
    <w:rsid w:val="0048364F"/>
    <w:rsid w:val="004860A2"/>
    <w:rsid w:val="004918C3"/>
    <w:rsid w:val="004A0388"/>
    <w:rsid w:val="004A1417"/>
    <w:rsid w:val="004A1861"/>
    <w:rsid w:val="004A2C87"/>
    <w:rsid w:val="004A58DB"/>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0E27"/>
    <w:rsid w:val="00531EA3"/>
    <w:rsid w:val="0053295D"/>
    <w:rsid w:val="0053723F"/>
    <w:rsid w:val="00542D51"/>
    <w:rsid w:val="005444A2"/>
    <w:rsid w:val="00546876"/>
    <w:rsid w:val="005549F6"/>
    <w:rsid w:val="00560EBB"/>
    <w:rsid w:val="00564069"/>
    <w:rsid w:val="00570DB1"/>
    <w:rsid w:val="00570E9F"/>
    <w:rsid w:val="00572E56"/>
    <w:rsid w:val="005755E3"/>
    <w:rsid w:val="00580CAD"/>
    <w:rsid w:val="005816FB"/>
    <w:rsid w:val="00584AEE"/>
    <w:rsid w:val="00586B2B"/>
    <w:rsid w:val="0059174C"/>
    <w:rsid w:val="005935F3"/>
    <w:rsid w:val="00594347"/>
    <w:rsid w:val="0059627F"/>
    <w:rsid w:val="00596EFC"/>
    <w:rsid w:val="005971D5"/>
    <w:rsid w:val="005A2D63"/>
    <w:rsid w:val="005A3011"/>
    <w:rsid w:val="005A419C"/>
    <w:rsid w:val="005A764E"/>
    <w:rsid w:val="005B29BC"/>
    <w:rsid w:val="005B69A6"/>
    <w:rsid w:val="005C1A21"/>
    <w:rsid w:val="005C51B2"/>
    <w:rsid w:val="005D0366"/>
    <w:rsid w:val="005D22B2"/>
    <w:rsid w:val="005D2F69"/>
    <w:rsid w:val="005E2C50"/>
    <w:rsid w:val="0060101E"/>
    <w:rsid w:val="00602939"/>
    <w:rsid w:val="00610E9E"/>
    <w:rsid w:val="006110CA"/>
    <w:rsid w:val="00613296"/>
    <w:rsid w:val="006166C7"/>
    <w:rsid w:val="00620A4F"/>
    <w:rsid w:val="00620F72"/>
    <w:rsid w:val="00623408"/>
    <w:rsid w:val="006245DA"/>
    <w:rsid w:val="0062642B"/>
    <w:rsid w:val="0063183B"/>
    <w:rsid w:val="0063231F"/>
    <w:rsid w:val="00632C34"/>
    <w:rsid w:val="00634446"/>
    <w:rsid w:val="00634CBD"/>
    <w:rsid w:val="00635FA4"/>
    <w:rsid w:val="00640B39"/>
    <w:rsid w:val="00650E61"/>
    <w:rsid w:val="0065256A"/>
    <w:rsid w:val="00672EC8"/>
    <w:rsid w:val="00673C78"/>
    <w:rsid w:val="006766FF"/>
    <w:rsid w:val="006767A1"/>
    <w:rsid w:val="0068290F"/>
    <w:rsid w:val="00682D5D"/>
    <w:rsid w:val="00686575"/>
    <w:rsid w:val="00692563"/>
    <w:rsid w:val="00693A5D"/>
    <w:rsid w:val="006A1B0D"/>
    <w:rsid w:val="006A3D5C"/>
    <w:rsid w:val="006A3F90"/>
    <w:rsid w:val="006B0F0D"/>
    <w:rsid w:val="006B1CF9"/>
    <w:rsid w:val="006B47EE"/>
    <w:rsid w:val="006C6BAA"/>
    <w:rsid w:val="006D3921"/>
    <w:rsid w:val="006D408B"/>
    <w:rsid w:val="006E0E0C"/>
    <w:rsid w:val="006E2D12"/>
    <w:rsid w:val="006E2F87"/>
    <w:rsid w:val="006E760F"/>
    <w:rsid w:val="006F28BC"/>
    <w:rsid w:val="006F300C"/>
    <w:rsid w:val="006F52F5"/>
    <w:rsid w:val="006F75D6"/>
    <w:rsid w:val="006F79DD"/>
    <w:rsid w:val="007002F8"/>
    <w:rsid w:val="00705FC3"/>
    <w:rsid w:val="0070713C"/>
    <w:rsid w:val="00711FFF"/>
    <w:rsid w:val="00713580"/>
    <w:rsid w:val="007138A4"/>
    <w:rsid w:val="00715D6B"/>
    <w:rsid w:val="007166DE"/>
    <w:rsid w:val="007173C0"/>
    <w:rsid w:val="007204C1"/>
    <w:rsid w:val="00724062"/>
    <w:rsid w:val="007317E0"/>
    <w:rsid w:val="0073487E"/>
    <w:rsid w:val="00740478"/>
    <w:rsid w:val="00740C7E"/>
    <w:rsid w:val="00742DDD"/>
    <w:rsid w:val="0075360F"/>
    <w:rsid w:val="0076174E"/>
    <w:rsid w:val="007701AA"/>
    <w:rsid w:val="007708C6"/>
    <w:rsid w:val="00771D41"/>
    <w:rsid w:val="007721C4"/>
    <w:rsid w:val="0077379F"/>
    <w:rsid w:val="00773918"/>
    <w:rsid w:val="00775AF2"/>
    <w:rsid w:val="007810E0"/>
    <w:rsid w:val="007A414C"/>
    <w:rsid w:val="007A6AF3"/>
    <w:rsid w:val="007B0257"/>
    <w:rsid w:val="007B1A80"/>
    <w:rsid w:val="007B36D6"/>
    <w:rsid w:val="007C4028"/>
    <w:rsid w:val="007C6D48"/>
    <w:rsid w:val="007D5FCD"/>
    <w:rsid w:val="007D776B"/>
    <w:rsid w:val="007F7E7C"/>
    <w:rsid w:val="00800237"/>
    <w:rsid w:val="0080242C"/>
    <w:rsid w:val="00805018"/>
    <w:rsid w:val="008114A2"/>
    <w:rsid w:val="00813ADC"/>
    <w:rsid w:val="008145F2"/>
    <w:rsid w:val="00823499"/>
    <w:rsid w:val="00827BEE"/>
    <w:rsid w:val="00827D6B"/>
    <w:rsid w:val="008316D6"/>
    <w:rsid w:val="00831C58"/>
    <w:rsid w:val="00831E6C"/>
    <w:rsid w:val="0083342E"/>
    <w:rsid w:val="008347B9"/>
    <w:rsid w:val="008368CB"/>
    <w:rsid w:val="008401E1"/>
    <w:rsid w:val="00841485"/>
    <w:rsid w:val="00841AC0"/>
    <w:rsid w:val="00844552"/>
    <w:rsid w:val="0085243E"/>
    <w:rsid w:val="00852FB6"/>
    <w:rsid w:val="00852FD1"/>
    <w:rsid w:val="008554FB"/>
    <w:rsid w:val="008561B0"/>
    <w:rsid w:val="00857AC9"/>
    <w:rsid w:val="00865714"/>
    <w:rsid w:val="0086593B"/>
    <w:rsid w:val="00866FD9"/>
    <w:rsid w:val="00882C8D"/>
    <w:rsid w:val="008839BB"/>
    <w:rsid w:val="00883E9F"/>
    <w:rsid w:val="00884797"/>
    <w:rsid w:val="00884DD1"/>
    <w:rsid w:val="00886963"/>
    <w:rsid w:val="008875BA"/>
    <w:rsid w:val="0089710F"/>
    <w:rsid w:val="008A3266"/>
    <w:rsid w:val="008A7F84"/>
    <w:rsid w:val="008B1838"/>
    <w:rsid w:val="008B201B"/>
    <w:rsid w:val="008B7DE7"/>
    <w:rsid w:val="008C0398"/>
    <w:rsid w:val="008C1BEA"/>
    <w:rsid w:val="008C2DA2"/>
    <w:rsid w:val="008C4C09"/>
    <w:rsid w:val="008C4EF3"/>
    <w:rsid w:val="008C52DF"/>
    <w:rsid w:val="008C5A22"/>
    <w:rsid w:val="008C7A92"/>
    <w:rsid w:val="008D30E6"/>
    <w:rsid w:val="008D3B25"/>
    <w:rsid w:val="008D7BDB"/>
    <w:rsid w:val="008E49CB"/>
    <w:rsid w:val="008E5D6E"/>
    <w:rsid w:val="008E6624"/>
    <w:rsid w:val="008F65AF"/>
    <w:rsid w:val="00901F7F"/>
    <w:rsid w:val="00903942"/>
    <w:rsid w:val="00904443"/>
    <w:rsid w:val="00905A67"/>
    <w:rsid w:val="00916BDD"/>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3920"/>
    <w:rsid w:val="00986333"/>
    <w:rsid w:val="0098705C"/>
    <w:rsid w:val="00987883"/>
    <w:rsid w:val="00992297"/>
    <w:rsid w:val="00994CD0"/>
    <w:rsid w:val="00995DB3"/>
    <w:rsid w:val="009A0FAD"/>
    <w:rsid w:val="009A569F"/>
    <w:rsid w:val="009A75E4"/>
    <w:rsid w:val="009C4773"/>
    <w:rsid w:val="009C5916"/>
    <w:rsid w:val="009C7D0F"/>
    <w:rsid w:val="009E0796"/>
    <w:rsid w:val="009E12C0"/>
    <w:rsid w:val="009E1F4B"/>
    <w:rsid w:val="009E50C6"/>
    <w:rsid w:val="009E63D4"/>
    <w:rsid w:val="009F4D40"/>
    <w:rsid w:val="00A00A18"/>
    <w:rsid w:val="00A026E4"/>
    <w:rsid w:val="00A04D48"/>
    <w:rsid w:val="00A0577E"/>
    <w:rsid w:val="00A06EEC"/>
    <w:rsid w:val="00A072DD"/>
    <w:rsid w:val="00A16D1C"/>
    <w:rsid w:val="00A26271"/>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31E1"/>
    <w:rsid w:val="00AC4C6A"/>
    <w:rsid w:val="00AD0F5C"/>
    <w:rsid w:val="00AD369B"/>
    <w:rsid w:val="00AD48AD"/>
    <w:rsid w:val="00AD7B0D"/>
    <w:rsid w:val="00AD7E86"/>
    <w:rsid w:val="00AE20DF"/>
    <w:rsid w:val="00AE29A7"/>
    <w:rsid w:val="00AE6BF2"/>
    <w:rsid w:val="00AF246E"/>
    <w:rsid w:val="00AF479D"/>
    <w:rsid w:val="00AF635B"/>
    <w:rsid w:val="00AF75C8"/>
    <w:rsid w:val="00B00EE9"/>
    <w:rsid w:val="00B030E6"/>
    <w:rsid w:val="00B059FD"/>
    <w:rsid w:val="00B07332"/>
    <w:rsid w:val="00B20E51"/>
    <w:rsid w:val="00B23528"/>
    <w:rsid w:val="00B27C68"/>
    <w:rsid w:val="00B30EF4"/>
    <w:rsid w:val="00B31DEE"/>
    <w:rsid w:val="00B34DD8"/>
    <w:rsid w:val="00B36977"/>
    <w:rsid w:val="00B43721"/>
    <w:rsid w:val="00B47060"/>
    <w:rsid w:val="00B47693"/>
    <w:rsid w:val="00B50CD0"/>
    <w:rsid w:val="00B63ADF"/>
    <w:rsid w:val="00B7298C"/>
    <w:rsid w:val="00B73A04"/>
    <w:rsid w:val="00B75C45"/>
    <w:rsid w:val="00B8095D"/>
    <w:rsid w:val="00B831B3"/>
    <w:rsid w:val="00B842BC"/>
    <w:rsid w:val="00B8604A"/>
    <w:rsid w:val="00B92CC7"/>
    <w:rsid w:val="00B92CE9"/>
    <w:rsid w:val="00BA1F2C"/>
    <w:rsid w:val="00BA32AD"/>
    <w:rsid w:val="00BA4771"/>
    <w:rsid w:val="00BA4E68"/>
    <w:rsid w:val="00BA5289"/>
    <w:rsid w:val="00BA6421"/>
    <w:rsid w:val="00BB017B"/>
    <w:rsid w:val="00BC0BCA"/>
    <w:rsid w:val="00BC126B"/>
    <w:rsid w:val="00BC49BB"/>
    <w:rsid w:val="00BD4653"/>
    <w:rsid w:val="00BD4E67"/>
    <w:rsid w:val="00BD714C"/>
    <w:rsid w:val="00BD750D"/>
    <w:rsid w:val="00BE148F"/>
    <w:rsid w:val="00BE2D31"/>
    <w:rsid w:val="00BE5AA8"/>
    <w:rsid w:val="00BF33FE"/>
    <w:rsid w:val="00BF358E"/>
    <w:rsid w:val="00BF5840"/>
    <w:rsid w:val="00BF5F1D"/>
    <w:rsid w:val="00C01DC0"/>
    <w:rsid w:val="00C037A6"/>
    <w:rsid w:val="00C03F8A"/>
    <w:rsid w:val="00C04C76"/>
    <w:rsid w:val="00C200D7"/>
    <w:rsid w:val="00C217A0"/>
    <w:rsid w:val="00C24A2E"/>
    <w:rsid w:val="00C25CFC"/>
    <w:rsid w:val="00C36956"/>
    <w:rsid w:val="00C40577"/>
    <w:rsid w:val="00C405CB"/>
    <w:rsid w:val="00C43658"/>
    <w:rsid w:val="00C46047"/>
    <w:rsid w:val="00C52B1A"/>
    <w:rsid w:val="00C540E0"/>
    <w:rsid w:val="00C639B5"/>
    <w:rsid w:val="00C673BD"/>
    <w:rsid w:val="00C677D6"/>
    <w:rsid w:val="00C7337F"/>
    <w:rsid w:val="00C75C1A"/>
    <w:rsid w:val="00C80DD0"/>
    <w:rsid w:val="00C86E98"/>
    <w:rsid w:val="00C90543"/>
    <w:rsid w:val="00C935B4"/>
    <w:rsid w:val="00C9386D"/>
    <w:rsid w:val="00C9729E"/>
    <w:rsid w:val="00CA455C"/>
    <w:rsid w:val="00CB0024"/>
    <w:rsid w:val="00CB0306"/>
    <w:rsid w:val="00CB3F3F"/>
    <w:rsid w:val="00CC33AB"/>
    <w:rsid w:val="00CC5463"/>
    <w:rsid w:val="00CC6F6E"/>
    <w:rsid w:val="00CD12D8"/>
    <w:rsid w:val="00CD3AD6"/>
    <w:rsid w:val="00CD7926"/>
    <w:rsid w:val="00CE1F09"/>
    <w:rsid w:val="00CE486E"/>
    <w:rsid w:val="00CF2087"/>
    <w:rsid w:val="00CF2D53"/>
    <w:rsid w:val="00CF3432"/>
    <w:rsid w:val="00CF4398"/>
    <w:rsid w:val="00CF55D5"/>
    <w:rsid w:val="00CF736F"/>
    <w:rsid w:val="00CF73EF"/>
    <w:rsid w:val="00D00583"/>
    <w:rsid w:val="00D103A6"/>
    <w:rsid w:val="00D12835"/>
    <w:rsid w:val="00D14104"/>
    <w:rsid w:val="00D24914"/>
    <w:rsid w:val="00D326D7"/>
    <w:rsid w:val="00D40B52"/>
    <w:rsid w:val="00D54453"/>
    <w:rsid w:val="00D556BF"/>
    <w:rsid w:val="00D60710"/>
    <w:rsid w:val="00D61798"/>
    <w:rsid w:val="00D62CB1"/>
    <w:rsid w:val="00D6735E"/>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3FFA"/>
    <w:rsid w:val="00DD491C"/>
    <w:rsid w:val="00DE03E4"/>
    <w:rsid w:val="00DE20EE"/>
    <w:rsid w:val="00DE2591"/>
    <w:rsid w:val="00DE4754"/>
    <w:rsid w:val="00DE5AD0"/>
    <w:rsid w:val="00DE6920"/>
    <w:rsid w:val="00DF0036"/>
    <w:rsid w:val="00DF05E9"/>
    <w:rsid w:val="00E01E6C"/>
    <w:rsid w:val="00E03B22"/>
    <w:rsid w:val="00E0700B"/>
    <w:rsid w:val="00E2162E"/>
    <w:rsid w:val="00E27BC2"/>
    <w:rsid w:val="00E330F9"/>
    <w:rsid w:val="00E3579F"/>
    <w:rsid w:val="00E37814"/>
    <w:rsid w:val="00E415C5"/>
    <w:rsid w:val="00E53B98"/>
    <w:rsid w:val="00E73DEA"/>
    <w:rsid w:val="00E74B97"/>
    <w:rsid w:val="00E768A0"/>
    <w:rsid w:val="00E8039B"/>
    <w:rsid w:val="00E8091B"/>
    <w:rsid w:val="00E81F71"/>
    <w:rsid w:val="00E84361"/>
    <w:rsid w:val="00E84A0C"/>
    <w:rsid w:val="00E90438"/>
    <w:rsid w:val="00E91058"/>
    <w:rsid w:val="00E92C18"/>
    <w:rsid w:val="00E96E7A"/>
    <w:rsid w:val="00EA236B"/>
    <w:rsid w:val="00EA3753"/>
    <w:rsid w:val="00EA7776"/>
    <w:rsid w:val="00EB122B"/>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67B36"/>
    <w:rsid w:val="00F73ABB"/>
    <w:rsid w:val="00F74311"/>
    <w:rsid w:val="00F76B2A"/>
    <w:rsid w:val="00F80228"/>
    <w:rsid w:val="00F805FB"/>
    <w:rsid w:val="00F84954"/>
    <w:rsid w:val="00F856E5"/>
    <w:rsid w:val="00F9456B"/>
    <w:rsid w:val="00FA0732"/>
    <w:rsid w:val="00FA3C18"/>
    <w:rsid w:val="00FA5A47"/>
    <w:rsid w:val="00FA6B8E"/>
    <w:rsid w:val="00FA72F5"/>
    <w:rsid w:val="00FB4137"/>
    <w:rsid w:val="00FB45B2"/>
    <w:rsid w:val="00FB5637"/>
    <w:rsid w:val="00FB5A75"/>
    <w:rsid w:val="00FB7750"/>
    <w:rsid w:val="00FC4A76"/>
    <w:rsid w:val="00FD3E77"/>
    <w:rsid w:val="00FD6933"/>
    <w:rsid w:val="00FD71AB"/>
    <w:rsid w:val="00FE080D"/>
    <w:rsid w:val="00FE20AC"/>
    <w:rsid w:val="00FF3926"/>
    <w:rsid w:val="1A5E42D0"/>
    <w:rsid w:val="1E50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575ED4"/>
  <w15:docId w15:val="{501A44DE-DE3E-44EA-98C7-B16E345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Body Text"/>
    <w:basedOn w:val="a"/>
    <w:link w:val="a5"/>
    <w:pPr>
      <w:spacing w:after="120"/>
    </w:pPr>
    <w:rPr>
      <w:rFonts w:ascii="Calibri" w:hAnsi="Calibri"/>
      <w:kern w:val="0"/>
      <w:sz w:val="20"/>
      <w:szCs w:val="20"/>
    </w:rPr>
  </w:style>
  <w:style w:type="paragraph" w:styleId="a6">
    <w:name w:val="Date"/>
    <w:basedOn w:val="a"/>
    <w:next w:val="a"/>
    <w:link w:val="a7"/>
    <w:uiPriority w:val="99"/>
    <w:semiHidden/>
    <w:unhideWhenUsed/>
    <w:qFormat/>
    <w:pPr>
      <w:ind w:leftChars="2500" w:left="100"/>
    </w:pPr>
  </w:style>
  <w:style w:type="paragraph" w:styleId="a8">
    <w:name w:val="endnote text"/>
    <w:basedOn w:val="a"/>
    <w:link w:val="11"/>
    <w:unhideWhenUsed/>
    <w:qFormat/>
    <w:pPr>
      <w:snapToGrid w:val="0"/>
      <w:jc w:val="left"/>
    </w:pPr>
  </w:style>
  <w:style w:type="paragraph" w:styleId="a9">
    <w:name w:val="Balloon Text"/>
    <w:basedOn w:val="a"/>
    <w:link w:val="aa"/>
    <w:uiPriority w:val="99"/>
    <w:semiHidden/>
    <w:unhideWhenUsed/>
    <w:rPr>
      <w:sz w:val="18"/>
      <w:szCs w:val="18"/>
    </w:rPr>
  </w:style>
  <w:style w:type="paragraph" w:styleId="ab">
    <w:name w:val="footer"/>
    <w:basedOn w:val="a"/>
    <w:link w:val="ac"/>
    <w:pPr>
      <w:tabs>
        <w:tab w:val="center" w:pos="4153"/>
        <w:tab w:val="right" w:pos="8306"/>
      </w:tabs>
      <w:snapToGrid w:val="0"/>
      <w:jc w:val="left"/>
    </w:pPr>
    <w:rPr>
      <w:rFonts w:ascii="Times New Roman" w:eastAsia="PMingLiU" w:hAnsi="Times New Roman"/>
      <w:sz w:val="20"/>
      <w:szCs w:val="20"/>
      <w:lang w:eastAsia="zh-TW"/>
    </w:rPr>
  </w:style>
  <w:style w:type="paragraph" w:styleId="ad">
    <w:name w:val="header"/>
    <w:basedOn w:val="a"/>
    <w:link w:val="ae"/>
    <w:unhideWhenUsed/>
    <w:pPr>
      <w:pBdr>
        <w:bottom w:val="single" w:sz="6" w:space="1" w:color="auto"/>
      </w:pBdr>
      <w:tabs>
        <w:tab w:val="center" w:pos="4153"/>
        <w:tab w:val="right" w:pos="8306"/>
      </w:tabs>
      <w:snapToGrid w:val="0"/>
      <w:jc w:val="center"/>
    </w:pPr>
    <w:rPr>
      <w:sz w:val="18"/>
      <w:szCs w:val="18"/>
    </w:rPr>
  </w:style>
  <w:style w:type="paragraph" w:styleId="af">
    <w:name w:val="footnote text"/>
    <w:aliases w:val="Char,脚注文本 Char Char, Char Char Char, Char Char1, Char Char, Char,脚注文本 Char Char Char Char Char,Char Char Char,Char Char1,脚注文本 Char Char Char Char Char Char Char,脚注文本 Char Char Char Char Char Char,Char Char C,脚注文本 Char1,Char Char, 字元,字元,腳註"/>
    <w:basedOn w:val="a"/>
    <w:link w:val="12"/>
    <w:qFormat/>
    <w:pPr>
      <w:snapToGrid w:val="0"/>
      <w:jc w:val="left"/>
    </w:pPr>
    <w:rPr>
      <w:rFonts w:ascii="Times New Roman" w:eastAsia="PMingLiU" w:hAnsi="Times New Roman"/>
      <w:sz w:val="20"/>
      <w:szCs w:val="20"/>
      <w:lang w:eastAsia="zh-TW"/>
    </w:rPr>
  </w:style>
  <w:style w:type="paragraph" w:styleId="af0">
    <w:name w:val="Normal (Web)"/>
    <w:basedOn w:val="a"/>
    <w:uiPriority w:val="99"/>
    <w:unhideWhenUsed/>
    <w:pPr>
      <w:widowControl/>
      <w:spacing w:before="100" w:beforeAutospacing="1" w:after="100" w:afterAutospacing="1"/>
      <w:jc w:val="left"/>
    </w:pPr>
    <w:rPr>
      <w:rFonts w:cs="宋体"/>
      <w:kern w:val="0"/>
      <w:szCs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character" w:styleId="af3">
    <w:name w:val="Strong"/>
    <w:uiPriority w:val="22"/>
    <w:qFormat/>
    <w:rPr>
      <w:b/>
    </w:rPr>
  </w:style>
  <w:style w:type="character" w:styleId="af4">
    <w:name w:val="endnote reference"/>
    <w:uiPriority w:val="99"/>
    <w:unhideWhenUsed/>
    <w:qFormat/>
    <w:rPr>
      <w:vertAlign w:val="superscript"/>
    </w:rPr>
  </w:style>
  <w:style w:type="character" w:styleId="af5">
    <w:name w:val="page number"/>
  </w:style>
  <w:style w:type="character" w:styleId="af6">
    <w:name w:val="Emphasis"/>
    <w:qFormat/>
    <w:rPr>
      <w:i/>
      <w:iCs/>
    </w:rPr>
  </w:style>
  <w:style w:type="character" w:styleId="af7">
    <w:name w:val="Hyperlink"/>
    <w:unhideWhenUsed/>
    <w:rPr>
      <w:color w:val="0563C1"/>
      <w:u w:val="single"/>
    </w:rPr>
  </w:style>
  <w:style w:type="character" w:styleId="af8">
    <w:name w:val="footnote reference"/>
    <w:aliases w:val="论文脚注引用"/>
    <w:qFormat/>
    <w:rPr>
      <w:vertAlign w:val="superscript"/>
    </w:rPr>
  </w:style>
  <w:style w:type="table" w:styleId="af9">
    <w:name w:val="Table Grid"/>
    <w:basedOn w:val="a1"/>
    <w:uiPriority w:val="5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rPr>
      <w:rFonts w:ascii="宋体"/>
      <w:kern w:val="2"/>
      <w:sz w:val="18"/>
      <w:szCs w:val="18"/>
    </w:rPr>
  </w:style>
  <w:style w:type="character" w:customStyle="1" w:styleId="ac">
    <w:name w:val="页脚 字符"/>
    <w:link w:val="ab"/>
    <w:rPr>
      <w:rFonts w:ascii="Times New Roman" w:eastAsia="PMingLiU" w:hAnsi="Times New Roman"/>
      <w:kern w:val="2"/>
      <w:lang w:eastAsia="zh-TW"/>
    </w:rPr>
  </w:style>
  <w:style w:type="paragraph" w:customStyle="1" w:styleId="afb">
    <w:name w:val="網文正文頂格"/>
    <w:basedOn w:val="afc"/>
    <w:qFormat/>
    <w:pPr>
      <w:ind w:firstLineChars="0" w:firstLine="0"/>
      <w:jc w:val="left"/>
    </w:pPr>
  </w:style>
  <w:style w:type="paragraph" w:customStyle="1" w:styleId="afc">
    <w:name w:val="網文正文"/>
    <w:basedOn w:val="a"/>
    <w:link w:val="Char1"/>
    <w:qFormat/>
    <w:pPr>
      <w:spacing w:line="480" w:lineRule="auto"/>
      <w:ind w:firstLineChars="200" w:firstLine="200"/>
      <w:textAlignment w:val="center"/>
    </w:pPr>
    <w:rPr>
      <w:sz w:val="28"/>
    </w:rPr>
  </w:style>
  <w:style w:type="character" w:customStyle="1" w:styleId="12">
    <w:name w:val="脚注文本 字符1"/>
    <w:aliases w:val="Char 字符1,脚注文本 Char Char 字符1, Char Char Char 字符1, Char Char1 字符1, Char Char 字符1, Char 字符1,脚注文本 Char Char Char Char Char 字符1,Char Char Char 字符1,Char Char1 字符1,脚注文本 Char Char Char Char Char Char Char 字符1,脚注文本 Char Char Char Char Char Char 字符1"/>
    <w:link w:val="af"/>
    <w:semiHidden/>
    <w:locked/>
    <w:rPr>
      <w:rFonts w:ascii="Times New Roman" w:eastAsia="PMingLiU" w:hAnsi="Times New Roman"/>
      <w:kern w:val="2"/>
      <w:lang w:eastAsia="zh-TW"/>
    </w:rPr>
  </w:style>
  <w:style w:type="paragraph" w:customStyle="1" w:styleId="afd">
    <w:name w:val="網文標題"/>
    <w:basedOn w:val="a"/>
    <w:link w:val="Char2"/>
    <w:qFormat/>
    <w:pPr>
      <w:jc w:val="center"/>
    </w:pPr>
    <w:rPr>
      <w:rFonts w:ascii="黑体"/>
      <w:b/>
      <w:sz w:val="32"/>
      <w:szCs w:val="44"/>
    </w:rPr>
  </w:style>
  <w:style w:type="character" w:customStyle="1" w:styleId="Char2">
    <w:name w:val="網文標題 Char"/>
    <w:link w:val="afd"/>
    <w:rPr>
      <w:rFonts w:ascii="黑体"/>
      <w:b/>
      <w:kern w:val="2"/>
      <w:sz w:val="32"/>
      <w:szCs w:val="44"/>
    </w:rPr>
  </w:style>
  <w:style w:type="paragraph" w:customStyle="1" w:styleId="afe">
    <w:name w:val="網文作者"/>
    <w:basedOn w:val="a"/>
    <w:link w:val="Char3"/>
    <w:qFormat/>
    <w:pPr>
      <w:jc w:val="center"/>
    </w:pPr>
    <w:rPr>
      <w:b/>
      <w:sz w:val="28"/>
      <w:lang w:eastAsia="zh-TW"/>
    </w:rPr>
  </w:style>
  <w:style w:type="character" w:customStyle="1" w:styleId="Char3">
    <w:name w:val="網文作者 Char"/>
    <w:link w:val="afe"/>
    <w:rPr>
      <w:rFonts w:ascii="宋体" w:hAnsi="宋体"/>
      <w:b/>
      <w:kern w:val="2"/>
      <w:sz w:val="28"/>
      <w:szCs w:val="22"/>
      <w:lang w:eastAsia="zh-TW"/>
    </w:rPr>
  </w:style>
  <w:style w:type="character" w:customStyle="1" w:styleId="Char1">
    <w:name w:val="網文正文 Char"/>
    <w:link w:val="afc"/>
    <w:rPr>
      <w:rFonts w:ascii="宋体" w:hAnsi="宋体"/>
      <w:kern w:val="2"/>
      <w:sz w:val="28"/>
      <w:szCs w:val="22"/>
    </w:rPr>
  </w:style>
  <w:style w:type="character" w:customStyle="1" w:styleId="Char">
    <w:name w:val="網文引用 Char"/>
    <w:link w:val="afa"/>
    <w:rPr>
      <w:rFonts w:ascii="楷体" w:eastAsia="楷体" w:hAnsi="楷体"/>
      <w:spacing w:val="4"/>
      <w:sz w:val="24"/>
      <w:szCs w:val="22"/>
      <w:lang w:eastAsia="zh-TW"/>
    </w:rPr>
  </w:style>
  <w:style w:type="character" w:customStyle="1" w:styleId="11">
    <w:name w:val="尾注文本 字符1"/>
    <w:link w:val="a8"/>
    <w:uiPriority w:val="99"/>
    <w:rPr>
      <w:rFonts w:ascii="宋体" w:hAnsi="宋体"/>
      <w:kern w:val="2"/>
      <w:sz w:val="24"/>
      <w:szCs w:val="22"/>
    </w:rPr>
  </w:style>
  <w:style w:type="character" w:customStyle="1" w:styleId="ae">
    <w:name w:val="页眉 字符"/>
    <w:link w:val="ad"/>
    <w:rPr>
      <w:rFonts w:ascii="宋体" w:hAnsi="宋体"/>
      <w:kern w:val="2"/>
      <w:sz w:val="18"/>
      <w:szCs w:val="18"/>
    </w:rPr>
  </w:style>
  <w:style w:type="character" w:customStyle="1" w:styleId="st1">
    <w:name w:val="st1"/>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rPr>
      <w:b/>
      <w:bCs/>
      <w:kern w:val="44"/>
      <w:sz w:val="44"/>
      <w:szCs w:val="44"/>
    </w:rPr>
  </w:style>
  <w:style w:type="character" w:customStyle="1" w:styleId="20">
    <w:name w:val="标题 2 字符"/>
    <w:link w:val="2"/>
    <w:uiPriority w:val="9"/>
    <w:semiHidden/>
    <w:rPr>
      <w:rFonts w:ascii="Cambria" w:eastAsia="宋体" w:hAnsi="Cambria" w:cs="Times New Roman"/>
      <w:b/>
      <w:bCs/>
      <w:sz w:val="32"/>
      <w:szCs w:val="32"/>
    </w:rPr>
  </w:style>
  <w:style w:type="character" w:customStyle="1" w:styleId="30">
    <w:name w:val="标题 3 字符"/>
    <w:link w:val="3"/>
    <w:uiPriority w:val="9"/>
    <w:semiHidden/>
    <w:rPr>
      <w:b/>
      <w:bCs/>
      <w:sz w:val="32"/>
      <w:szCs w:val="32"/>
    </w:rPr>
  </w:style>
  <w:style w:type="paragraph" w:customStyle="1" w:styleId="13">
    <w:name w:val="无间隔1"/>
    <w:next w:val="aff"/>
    <w:uiPriority w:val="1"/>
    <w:qFormat/>
    <w:pPr>
      <w:widowControl w:val="0"/>
      <w:jc w:val="both"/>
    </w:pPr>
    <w:rPr>
      <w:kern w:val="2"/>
      <w:sz w:val="21"/>
      <w:szCs w:val="22"/>
    </w:rPr>
  </w:style>
  <w:style w:type="paragraph" w:styleId="aff">
    <w:name w:val="No Spacing"/>
    <w:uiPriority w:val="1"/>
    <w:qFormat/>
    <w:pPr>
      <w:widowControl w:val="0"/>
      <w:jc w:val="both"/>
    </w:pPr>
    <w:rPr>
      <w:rFonts w:ascii="宋体" w:hAnsi="宋体"/>
      <w:kern w:val="2"/>
      <w:sz w:val="24"/>
      <w:szCs w:val="22"/>
    </w:rPr>
  </w:style>
  <w:style w:type="paragraph" w:customStyle="1" w:styleId="14">
    <w:name w:val="批注框文本1"/>
    <w:basedOn w:val="a"/>
    <w:next w:val="a9"/>
    <w:link w:val="Char4"/>
    <w:uiPriority w:val="99"/>
    <w:semiHidden/>
    <w:unhideWhenUsed/>
    <w:rPr>
      <w:rFonts w:ascii="Calibri" w:hAnsi="Calibri"/>
      <w:kern w:val="0"/>
      <w:sz w:val="18"/>
      <w:szCs w:val="18"/>
    </w:rPr>
  </w:style>
  <w:style w:type="character" w:customStyle="1" w:styleId="Char4">
    <w:name w:val="批注框文本 Char"/>
    <w:link w:val="14"/>
    <w:uiPriority w:val="99"/>
    <w:semiHidden/>
    <w:rPr>
      <w:sz w:val="18"/>
      <w:szCs w:val="18"/>
    </w:rPr>
  </w:style>
  <w:style w:type="paragraph" w:customStyle="1" w:styleId="15">
    <w:name w:val="列出段落1"/>
    <w:basedOn w:val="a"/>
    <w:next w:val="aff0"/>
    <w:uiPriority w:val="34"/>
    <w:qFormat/>
    <w:pPr>
      <w:spacing w:after="120" w:line="276" w:lineRule="auto"/>
      <w:ind w:firstLineChars="200" w:firstLine="420"/>
    </w:pPr>
    <w:rPr>
      <w:rFonts w:ascii="Calibri" w:hAnsi="Calibri"/>
      <w:sz w:val="21"/>
    </w:rPr>
  </w:style>
  <w:style w:type="paragraph" w:styleId="aff0">
    <w:name w:val="List Paragraph"/>
    <w:basedOn w:val="a"/>
    <w:uiPriority w:val="34"/>
    <w:qFormat/>
    <w:pPr>
      <w:ind w:firstLineChars="200" w:firstLine="420"/>
    </w:pPr>
  </w:style>
  <w:style w:type="character" w:customStyle="1" w:styleId="1Char1">
    <w:name w:val="标题 1 Char1"/>
    <w:uiPriority w:val="9"/>
    <w:rPr>
      <w:rFonts w:ascii="宋体" w:hAnsi="宋体"/>
      <w:b/>
      <w:bCs/>
      <w:kern w:val="44"/>
      <w:sz w:val="44"/>
      <w:szCs w:val="44"/>
    </w:rPr>
  </w:style>
  <w:style w:type="character" w:customStyle="1" w:styleId="2Char1">
    <w:name w:val="标题 2 Char1"/>
    <w:uiPriority w:val="9"/>
    <w:semiHidden/>
    <w:rPr>
      <w:rFonts w:ascii="Calibri Light" w:eastAsia="宋体" w:hAnsi="Calibri Light" w:cs="Times New Roman"/>
      <w:b/>
      <w:bCs/>
      <w:kern w:val="2"/>
      <w:sz w:val="32"/>
      <w:szCs w:val="32"/>
    </w:rPr>
  </w:style>
  <w:style w:type="character" w:customStyle="1" w:styleId="3Char1">
    <w:name w:val="标题 3 Char1"/>
    <w:uiPriority w:val="9"/>
    <w:semiHidden/>
    <w:rPr>
      <w:rFonts w:ascii="宋体" w:hAnsi="宋体"/>
      <w:b/>
      <w:bCs/>
      <w:kern w:val="2"/>
      <w:sz w:val="32"/>
      <w:szCs w:val="32"/>
    </w:rPr>
  </w:style>
  <w:style w:type="character" w:customStyle="1" w:styleId="aa">
    <w:name w:val="批注框文本 字符"/>
    <w:link w:val="a9"/>
    <w:uiPriority w:val="99"/>
    <w:semiHidden/>
    <w:rPr>
      <w:rFonts w:ascii="宋体" w:hAnsi="宋体"/>
      <w:kern w:val="2"/>
      <w:sz w:val="18"/>
      <w:szCs w:val="18"/>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rPr>
      <w:rFonts w:ascii="Tahoma" w:hAnsi="Tahoma"/>
      <w:szCs w:val="20"/>
    </w:rPr>
  </w:style>
  <w:style w:type="character" w:customStyle="1" w:styleId="postbody1">
    <w:name w:val="postbody1"/>
    <w:rPr>
      <w:sz w:val="11"/>
      <w:szCs w:val="11"/>
    </w:rPr>
  </w:style>
  <w:style w:type="character" w:customStyle="1" w:styleId="hot">
    <w:name w:val="hot"/>
    <w:basedOn w:val="a0"/>
  </w:style>
  <w:style w:type="character" w:customStyle="1" w:styleId="note">
    <w:name w:val="note"/>
    <w:rPr>
      <w:color w:val="800080"/>
      <w:sz w:val="20"/>
      <w:szCs w:val="20"/>
    </w:rPr>
  </w:style>
  <w:style w:type="character" w:customStyle="1" w:styleId="CharChar7">
    <w:name w:val="Char Char7"/>
    <w:semiHidden/>
    <w:rPr>
      <w:rFonts w:eastAsia="宋体"/>
      <w:kern w:val="2"/>
      <w:sz w:val="18"/>
      <w:szCs w:val="18"/>
      <w:lang w:val="en-US" w:eastAsia="zh-CN" w:bidi="ar-SA"/>
    </w:rPr>
  </w:style>
  <w:style w:type="character" w:customStyle="1" w:styleId="a5">
    <w:name w:val="正文文本 字符"/>
    <w:link w:val="a4"/>
    <w:rPr>
      <w:lang w:val="en-US" w:eastAsia="zh-CN"/>
    </w:rPr>
  </w:style>
  <w:style w:type="character" w:customStyle="1" w:styleId="byline1">
    <w:name w:val="byline1"/>
    <w:rPr>
      <w:color w:val="408080"/>
      <w:sz w:val="32"/>
      <w:szCs w:val="32"/>
    </w:rPr>
  </w:style>
  <w:style w:type="character" w:customStyle="1" w:styleId="Hyperlink0">
    <w:name w:val="Hyperlink.0"/>
    <w:rPr>
      <w:rFonts w:ascii="DFKai-SB" w:eastAsia="DFKai-SB" w:hAnsi="DFKai-SB" w:cs="DFKai-SB"/>
      <w:sz w:val="22"/>
      <w:szCs w:val="22"/>
      <w:lang w:val="zh-TW" w:eastAsia="zh-TW"/>
    </w:rPr>
  </w:style>
  <w:style w:type="character" w:customStyle="1" w:styleId="aff1">
    <w:name w:val="尾注文本 字符"/>
    <w:uiPriority w:val="99"/>
    <w:rPr>
      <w:kern w:val="2"/>
      <w:sz w:val="21"/>
      <w:szCs w:val="24"/>
    </w:rPr>
  </w:style>
  <w:style w:type="character" w:customStyle="1" w:styleId="aff2">
    <w:name w:val="脚注文本 字符"/>
    <w:aliases w:val="Char 字符,脚注文本 Char Char 字符, Char Char Char 字符, Char Char1 字符, Char Char 字符, Char 字符,脚注文本 Char Char Char Char Char 字符,Char Char Char 字符,Char Char1 字符,脚注文本 Char Char Char Char Char Char Char 字符,脚注文本 Char Char Char Char Char Char 字符,Char Char C 字符"/>
    <w:qFormat/>
    <w:rPr>
      <w:sz w:val="20"/>
      <w:szCs w:val="20"/>
    </w:rPr>
  </w:style>
  <w:style w:type="paragraph" w:customStyle="1" w:styleId="aff3">
    <w:name w:val="注文"/>
    <w:basedOn w:val="a"/>
    <w:qFormat/>
    <w:pPr>
      <w:ind w:leftChars="405" w:left="1155" w:hangingChars="10" w:hanging="21"/>
    </w:pPr>
    <w:rPr>
      <w:rFonts w:ascii="Calibri" w:hAnsi="Calibri"/>
      <w:color w:val="92D050"/>
      <w:sz w:val="21"/>
      <w:szCs w:val="21"/>
    </w:rPr>
  </w:style>
  <w:style w:type="paragraph" w:customStyle="1" w:styleId="aff4">
    <w:name w:val="小標"/>
    <w:basedOn w:val="a"/>
    <w:qFormat/>
    <w:pPr>
      <w:ind w:leftChars="53" w:left="708" w:hangingChars="200" w:hanging="560"/>
    </w:pPr>
    <w:rPr>
      <w:rFonts w:ascii="Calibri" w:hAnsi="Calibri"/>
      <w:sz w:val="21"/>
      <w:szCs w:val="24"/>
    </w:rPr>
  </w:style>
  <w:style w:type="character" w:customStyle="1" w:styleId="a7">
    <w:name w:val="日期 字符"/>
    <w:link w:val="a6"/>
    <w:uiPriority w:val="99"/>
    <w:semiHidden/>
    <w:rPr>
      <w:rFonts w:ascii="宋体" w:hAnsi="宋体"/>
      <w:kern w:val="2"/>
      <w:sz w:val="24"/>
      <w:szCs w:val="22"/>
    </w:rPr>
  </w:style>
  <w:style w:type="character" w:customStyle="1" w:styleId="Char5">
    <w:name w:val="尾注文本 Char"/>
    <w:rPr>
      <w:kern w:val="2"/>
      <w:sz w:val="21"/>
      <w:szCs w:val="24"/>
    </w:rPr>
  </w:style>
  <w:style w:type="character" w:customStyle="1" w:styleId="fontstyle01">
    <w:name w:val="fontstyle01"/>
    <w:basedOn w:val="a0"/>
    <w:rPr>
      <w:rFonts w:ascii="TimesNewRomanPS-BoldMT" w:hAnsi="TimesNewRomanPS-BoldMT" w:hint="default"/>
      <w:b/>
      <w:bCs/>
      <w:color w:val="000000"/>
      <w:sz w:val="36"/>
      <w:szCs w:val="36"/>
    </w:rPr>
  </w:style>
  <w:style w:type="character" w:customStyle="1" w:styleId="fontstyle11">
    <w:name w:val="fontstyle11"/>
    <w:basedOn w:val="a0"/>
    <w:rPr>
      <w:rFonts w:ascii="宋体" w:eastAsia="宋体" w:hAnsi="宋体" w:hint="eastAsia"/>
      <w:color w:val="000000"/>
      <w:sz w:val="36"/>
      <w:szCs w:val="36"/>
    </w:rPr>
  </w:style>
  <w:style w:type="character" w:customStyle="1" w:styleId="fontstyle21">
    <w:name w:val="fontstyle21"/>
    <w:basedOn w:val="a0"/>
    <w:rPr>
      <w:rFonts w:ascii="Batang" w:eastAsia="Batang" w:hint="eastAsia"/>
      <w:color w:val="000000"/>
      <w:sz w:val="24"/>
      <w:szCs w:val="24"/>
    </w:rPr>
  </w:style>
  <w:style w:type="character" w:customStyle="1" w:styleId="fontstyle31">
    <w:name w:val="fontstyle31"/>
    <w:basedOn w:val="a0"/>
    <w:rPr>
      <w:rFonts w:ascii="New Gulim" w:hAnsi="New Gulim" w:hint="default"/>
      <w:color w:val="000000"/>
      <w:sz w:val="24"/>
      <w:szCs w:val="24"/>
    </w:rPr>
  </w:style>
  <w:style w:type="character" w:customStyle="1" w:styleId="af2">
    <w:name w:val="标题 字符"/>
    <w:basedOn w:val="a0"/>
    <w:link w:val="af1"/>
    <w:uiPriority w:val="10"/>
    <w:rPr>
      <w:rFonts w:asciiTheme="majorHAnsi" w:hAnsiTheme="majorHAnsi" w:cstheme="majorBidi"/>
      <w:b/>
      <w:bCs/>
      <w:kern w:val="2"/>
      <w:sz w:val="32"/>
      <w:szCs w:val="32"/>
    </w:rPr>
  </w:style>
  <w:style w:type="paragraph" w:customStyle="1" w:styleId="Char11">
    <w:name w:val="Char11"/>
    <w:basedOn w:val="a"/>
    <w:rPr>
      <w:rFonts w:ascii="Tahoma" w:hAnsi="Tahoma"/>
      <w:szCs w:val="20"/>
    </w:rPr>
  </w:style>
  <w:style w:type="character" w:customStyle="1" w:styleId="Char6">
    <w:name w:val="标题 Char"/>
    <w:rPr>
      <w:rFonts w:ascii="Cambria" w:hAnsi="Cambria" w:cs="Times New Roman"/>
      <w:b/>
      <w:bCs/>
      <w:kern w:val="2"/>
      <w:sz w:val="32"/>
      <w:szCs w:val="32"/>
    </w:rPr>
  </w:style>
  <w:style w:type="character" w:customStyle="1" w:styleId="nyfontcontent">
    <w:name w:val="ny_font_content"/>
    <w:basedOn w:val="a0"/>
  </w:style>
  <w:style w:type="character" w:customStyle="1" w:styleId="firstpagedate">
    <w:name w:val="firstpagedate"/>
    <w:basedOn w:val="a0"/>
    <w:rsid w:val="00AE6BF2"/>
  </w:style>
  <w:style w:type="character" w:styleId="aff5">
    <w:name w:val="Unresolved Mention"/>
    <w:basedOn w:val="a0"/>
    <w:uiPriority w:val="99"/>
    <w:semiHidden/>
    <w:unhideWhenUsed/>
    <w:rsid w:val="00075295"/>
    <w:rPr>
      <w:color w:val="605E5C"/>
      <w:shd w:val="clear" w:color="auto" w:fill="E1DFDD"/>
    </w:rPr>
  </w:style>
  <w:style w:type="character" w:customStyle="1" w:styleId="WW-FootnoteReference1">
    <w:name w:val="WW-Footnote Reference1"/>
    <w:rsid w:val="00075295"/>
    <w:rPr>
      <w:vertAlign w:val="superscript"/>
    </w:rPr>
  </w:style>
  <w:style w:type="character" w:customStyle="1" w:styleId="EndnoteCharacters">
    <w:name w:val="Endnote Characters"/>
    <w:rsid w:val="0007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BB069-59BD-42AF-BEC8-CADB9453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18</Pages>
  <Words>3910</Words>
  <Characters>3990</Characters>
  <Application>Microsoft Office Word</Application>
  <DocSecurity>0</DocSecurity>
  <Lines>147</Lines>
  <Paragraphs>45</Paragraphs>
  <ScaleCrop>false</ScaleCrop>
  <Company>GWZ</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admin</cp:lastModifiedBy>
  <cp:revision>35</cp:revision>
  <dcterms:created xsi:type="dcterms:W3CDTF">2018-01-27T09:07:00Z</dcterms:created>
  <dcterms:modified xsi:type="dcterms:W3CDTF">2018-12-03T05:56:00Z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