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810" w:rsidRPr="00755810" w:rsidRDefault="00755810" w:rsidP="00755810">
      <w:pPr>
        <w:pStyle w:val="ab"/>
      </w:pPr>
      <w:r w:rsidRPr="00755810">
        <w:t>“</w:t>
      </w:r>
      <w:r w:rsidRPr="00755810">
        <w:rPr>
          <w:rFonts w:hint="eastAsia"/>
        </w:rPr>
        <w:t>術令</w:t>
      </w:r>
      <w:r w:rsidRPr="00755810">
        <w:t>”與“說命”</w:t>
      </w:r>
    </w:p>
    <w:p w:rsidR="00755810" w:rsidRPr="00755810" w:rsidRDefault="00755810" w:rsidP="00755810">
      <w:pPr>
        <w:pStyle w:val="ab"/>
      </w:pPr>
      <w:r w:rsidRPr="00755810">
        <w:t>——兼釋“怵好語”及一組“术”聲字</w:t>
      </w:r>
    </w:p>
    <w:p w:rsidR="00755810" w:rsidRDefault="00755810" w:rsidP="00755810">
      <w:pPr>
        <w:pStyle w:val="ac"/>
        <w:rPr>
          <w:rFonts w:eastAsia="PMingLiU"/>
        </w:rPr>
      </w:pPr>
    </w:p>
    <w:p w:rsidR="00755810" w:rsidRPr="00755810" w:rsidRDefault="00755810" w:rsidP="00755810">
      <w:pPr>
        <w:pStyle w:val="ac"/>
      </w:pPr>
      <w:r>
        <w:rPr>
          <w:rFonts w:hint="eastAsia"/>
        </w:rPr>
        <w:t>（首發）</w:t>
      </w:r>
    </w:p>
    <w:p w:rsidR="00755810" w:rsidRPr="00755810" w:rsidRDefault="00755810" w:rsidP="00755810">
      <w:pPr>
        <w:pStyle w:val="ac"/>
      </w:pPr>
      <w:r w:rsidRPr="00755810">
        <w:rPr>
          <w:rFonts w:hint="eastAsia"/>
        </w:rPr>
        <w:t>子喬</w:t>
      </w:r>
    </w:p>
    <w:p w:rsidR="00755810" w:rsidRPr="00755810" w:rsidRDefault="00755810" w:rsidP="00755810"/>
    <w:p w:rsidR="002A36C3" w:rsidRPr="00755810" w:rsidRDefault="00755810" w:rsidP="00755810">
      <w:pPr>
        <w:pStyle w:val="aa"/>
        <w:ind w:firstLine="560"/>
      </w:pPr>
      <w:r w:rsidRPr="00755810">
        <w:rPr>
          <w:rFonts w:hint="eastAsia"/>
        </w:rPr>
        <w:t>先介紹一下本文的寫作緣起。十幾年前，學者張岩先生對清代閻若璩的《尚書古文疏證》進行了全面深入的研究，先後發文出書，力主《古文尚書》不僞</w:t>
      </w:r>
      <w:r w:rsidR="002A36C3" w:rsidRPr="00755810">
        <w:endnoteReference w:id="1"/>
      </w:r>
      <w:r w:rsidR="002A36C3" w:rsidRPr="00755810">
        <w:rPr>
          <w:rFonts w:hint="eastAsia"/>
        </w:rPr>
        <w:t>。張岩先生的工作是有價值的，他確實指出了閻若璩的一些錯誤；但是筆者同時認爲，這些錯誤並不意味着《古文尚書》爲真，它們衹是閻若璩的個人失誤，並不妨礙其他學者採用別的思路、拿出新的證據。</w:t>
      </w:r>
    </w:p>
    <w:p w:rsidR="002A36C3" w:rsidRPr="00755810" w:rsidRDefault="002A36C3" w:rsidP="00755810">
      <w:pPr>
        <w:pStyle w:val="aa"/>
        <w:ind w:firstLine="560"/>
      </w:pPr>
      <w:r w:rsidRPr="00755810">
        <w:rPr>
          <w:rFonts w:hint="eastAsia"/>
        </w:rPr>
        <w:t>張岩先生不斷強調“無罪推定”</w:t>
      </w:r>
      <w:r w:rsidRPr="00755810">
        <w:endnoteReference w:id="2"/>
      </w:r>
      <w:r w:rsidRPr="00755810">
        <w:rPr>
          <w:rFonts w:hint="eastAsia"/>
        </w:rPr>
        <w:t>。其實這個即使在法律上也不是無條件適用的概念</w:t>
      </w:r>
      <w:r w:rsidRPr="00755810">
        <w:endnoteReference w:id="3"/>
      </w:r>
      <w:r w:rsidRPr="00755810">
        <w:rPr>
          <w:rFonts w:hint="eastAsia"/>
        </w:rPr>
        <w:t>，對於文獻辨僞非但不能適用，反而是有害的。對於“人”和“書”，以及刑事案件的偵查審理和文獻辨僞，張岩先生衹看到了兩者一些似是而非的共性，但是它們在各方面均存在極大差異，不能無視其適用性而進行簡單類比和盲目借用。人享有“天賦人權”，而《古文尚書》這類文獻，顯然並不能享有“天賦書權”，不應是天生爲真、默認爲真的。不能說某些證僞的證據不成立，該文獻即</w:t>
      </w:r>
      <w:r w:rsidRPr="00755810">
        <w:rPr>
          <w:rFonts w:hint="eastAsia"/>
        </w:rPr>
        <w:lastRenderedPageBreak/>
        <w:t>爲真。對此，筆者還將另文澄清。</w:t>
      </w:r>
    </w:p>
    <w:p w:rsidR="002A36C3" w:rsidRPr="00755810" w:rsidRDefault="002A36C3" w:rsidP="00755810">
      <w:pPr>
        <w:pStyle w:val="aa"/>
        <w:ind w:firstLine="560"/>
      </w:pPr>
      <w:r w:rsidRPr="00755810">
        <w:rPr>
          <w:rFonts w:hint="eastAsia"/>
        </w:rPr>
        <w:t>不過，張岩先生的研究得到了一些學者的高度評價</w:t>
      </w:r>
      <w:r w:rsidRPr="00755810">
        <w:endnoteReference w:id="4"/>
      </w:r>
      <w:r w:rsidRPr="00755810">
        <w:rPr>
          <w:rFonts w:hint="eastAsia"/>
        </w:rPr>
        <w:t>，並再次掀起了一股《尚書》研究的熱潮，曾經鐵定的“古文尚書案”似乎出現了翻案的曙光。然而，《清華簡》的陸續發表，又給該案補充了新的材料。面對《清華簡》中可以證明《古文尚書》有關篇目是僞作的《尹誥》和《傅說之命》，張岩先生發表了《清華簡〈咸有一德〉〈說命〉真僞考辨》，反指《清華簡》是僞作，不能成爲“古文尚書案”的證據</w:t>
      </w:r>
      <w:r w:rsidRPr="00755810">
        <w:endnoteReference w:id="5"/>
      </w:r>
      <w:r w:rsidRPr="00755810">
        <w:rPr>
          <w:rFonts w:hint="eastAsia"/>
        </w:rPr>
        <w:t>。對此文涉及的諸多問題，筆者力有不逮，這裡衹想談一個細節，就是《術令》這個篇名。</w:t>
      </w:r>
    </w:p>
    <w:p w:rsidR="002A36C3" w:rsidRPr="00755810" w:rsidRDefault="002A36C3" w:rsidP="00755810">
      <w:pPr>
        <w:pStyle w:val="aa"/>
        <w:ind w:firstLine="560"/>
        <w:rPr>
          <w:rStyle w:val="Char"/>
        </w:rPr>
      </w:pPr>
      <w:r w:rsidRPr="00755810">
        <w:rPr>
          <w:rFonts w:hint="eastAsia"/>
        </w:rPr>
        <w:t>清華簡《傅說之命》中篇有</w:t>
      </w:r>
      <w:r w:rsidRPr="00755810">
        <w:rPr>
          <w:rStyle w:val="Char"/>
          <w:rFonts w:hint="eastAsia"/>
        </w:rPr>
        <w:t>“惟口起戎出好。”</w:t>
      </w:r>
      <w:r w:rsidRPr="00755810">
        <w:rPr>
          <w:rFonts w:hint="eastAsia"/>
        </w:rPr>
        <w:t>整理者說</w:t>
      </w:r>
      <w:r w:rsidRPr="00755810">
        <w:rPr>
          <w:rStyle w:val="Char"/>
          <w:rFonts w:hint="eastAsia"/>
        </w:rPr>
        <w:t>：“《墨子·尚同中》：‘是以先王之書《術令》之道曰：“唯口出好興戎。”’孫詒讓《閒詁》已經指出《術令》就是《說命》。”</w:t>
      </w:r>
      <w:r w:rsidRPr="00755810">
        <w:rPr>
          <w:rStyle w:val="Char"/>
        </w:rPr>
        <w:endnoteReference w:id="6"/>
      </w:r>
      <w:r w:rsidRPr="00755810">
        <w:rPr>
          <w:rStyle w:val="Char"/>
          <w:rFonts w:hint="eastAsia"/>
        </w:rPr>
        <w:t xml:space="preserve"> </w:t>
      </w:r>
      <w:r w:rsidRPr="00755810">
        <w:rPr>
          <w:rFonts w:hint="eastAsia"/>
        </w:rPr>
        <w:t>孫詒讓《墨子閒詁》：</w:t>
      </w:r>
      <w:r w:rsidRPr="00755810">
        <w:rPr>
          <w:rStyle w:val="Char"/>
          <w:rFonts w:hint="eastAsia"/>
        </w:rPr>
        <w:t>“若《尚同》篇引《術令》，即《書·說命》之佚文。魏晉人作僞《古文尚書》，不知‘術’爲‘說’之叚字，遂摭其文，竄入《大禹謨》矣。”“‘術令’當是‘說命’之叚字。……‘術’‘說’、‘令’‘命’音並相近，必一書也。”</w:t>
      </w:r>
      <w:r w:rsidRPr="00755810">
        <w:rPr>
          <w:rStyle w:val="Char"/>
        </w:rPr>
        <w:endnoteReference w:id="7"/>
      </w:r>
    </w:p>
    <w:p w:rsidR="002A36C3" w:rsidRPr="00755810" w:rsidRDefault="002A36C3" w:rsidP="00755810">
      <w:pPr>
        <w:pStyle w:val="aa"/>
        <w:ind w:firstLine="560"/>
      </w:pPr>
      <w:r w:rsidRPr="00755810">
        <w:rPr>
          <w:rFonts w:hint="eastAsia"/>
        </w:rPr>
        <w:t>這裡有兩個獨立的證據，一是《術令》與《說命》有相同的內容，二是“術令”與“說命”在語言文字上有聯繫。這種獨立性很重要，</w:t>
      </w:r>
      <w:r w:rsidRPr="00755810">
        <w:rPr>
          <w:rFonts w:hint="eastAsia"/>
        </w:rPr>
        <w:lastRenderedPageBreak/>
        <w:t>缺一不可。</w:t>
      </w:r>
    </w:p>
    <w:p w:rsidR="002A36C3" w:rsidRPr="00CC4E87" w:rsidRDefault="002A36C3" w:rsidP="00755810">
      <w:pPr>
        <w:pStyle w:val="aa"/>
        <w:ind w:firstLine="560"/>
      </w:pPr>
      <w:r w:rsidRPr="00755810">
        <w:rPr>
          <w:rFonts w:hint="eastAsia"/>
        </w:rPr>
        <w:t>對此，張岩先生認爲：</w:t>
      </w:r>
      <w:r w:rsidRPr="00755810">
        <w:rPr>
          <w:rStyle w:val="Char"/>
          <w:rFonts w:hint="eastAsia"/>
        </w:rPr>
        <w:t>“在引文</w:t>
      </w:r>
      <w:r w:rsidRPr="00755810">
        <w:rPr>
          <w:rStyle w:val="Char"/>
        </w:rPr>
        <w:t>A</w:t>
      </w:r>
      <w:r w:rsidRPr="00755810">
        <w:rPr>
          <w:rStyle w:val="Char"/>
          <w:rFonts w:ascii="宋体" w:eastAsia="宋体" w:hAnsi="宋体" w:hint="eastAsia"/>
        </w:rPr>
        <w:t>（引者按：指《緇衣》引《兌命》）</w:t>
      </w:r>
      <w:r w:rsidRPr="00755810">
        <w:rPr>
          <w:rStyle w:val="Char"/>
          <w:rFonts w:hint="eastAsia"/>
        </w:rPr>
        <w:t>與傳世本《說命》之間，以及在引文</w:t>
      </w:r>
      <w:r w:rsidRPr="00755810">
        <w:rPr>
          <w:rStyle w:val="Char"/>
        </w:rPr>
        <w:t>B</w:t>
      </w:r>
      <w:r w:rsidRPr="00755810">
        <w:rPr>
          <w:rStyle w:val="Char"/>
          <w:rFonts w:ascii="宋体" w:eastAsia="宋体" w:hAnsi="宋体" w:hint="eastAsia"/>
        </w:rPr>
        <w:t>（引者按：指《尚同中》引《術令》）</w:t>
      </w:r>
      <w:r w:rsidRPr="00755810">
        <w:rPr>
          <w:rStyle w:val="Char"/>
          <w:rFonts w:hint="eastAsia"/>
        </w:rPr>
        <w:t>與傳世本《大禹謨》之間，雙方在内容上彼此一致，在文義上彼此吻合。這是引文與原文的正常關係。‘術令’有可能是‘大禹’之訛誤。引文</w:t>
      </w:r>
      <w:r w:rsidRPr="00755810">
        <w:rPr>
          <w:rStyle w:val="Char"/>
        </w:rPr>
        <w:t>A</w:t>
      </w:r>
      <w:r w:rsidRPr="00755810">
        <w:rPr>
          <w:rStyle w:val="Char"/>
          <w:rFonts w:hint="eastAsia"/>
        </w:rPr>
        <w:t>的引用者是孔子，引文</w:t>
      </w:r>
      <w:r w:rsidRPr="00755810">
        <w:rPr>
          <w:rStyle w:val="Char"/>
        </w:rPr>
        <w:t>B</w:t>
      </w:r>
      <w:r w:rsidRPr="00755810">
        <w:rPr>
          <w:rStyle w:val="Char"/>
          <w:rFonts w:hint="eastAsia"/>
        </w:rPr>
        <w:t>的引用者是墨子。他們的在世時間彼此銜接，都可以看到完整的《尚書》。因此，這兩條引文在《尚書》中各有出處，平行存在。這是傳世本《大禹謨》《說命》不僞的重要證據。孫詒讓的見解……並無可靠依據，但卻有些過於自負（其行文：‘不悟’、‘疏繆殊甚’、‘皆不知’）。通過字音和字形途徑改字爲訓是傳統訓詁學的基本方法。……孫氏改‘術令’爲‘說命’都是走此一路。……依據相同途徑，‘術令’也可以被認爲是‘大禹’之訛誤。”</w:t>
      </w:r>
      <w:r w:rsidRPr="00CC4E87">
        <w:rPr>
          <w:rFonts w:hint="eastAsia"/>
        </w:rPr>
        <w:t>張岩先生進而認爲，清華簡《傅說之命》和《術令》之所以出現基本相同的文字，是因爲清華簡的“作僞者”採納了孫詒讓的意見，將《術令》的文字抄入了僞造的《傅說之命》。</w:t>
      </w:r>
    </w:p>
    <w:p w:rsidR="002A36C3" w:rsidRPr="00755810" w:rsidRDefault="002A36C3" w:rsidP="00CC4E87">
      <w:pPr>
        <w:pStyle w:val="aa"/>
        <w:ind w:firstLine="560"/>
      </w:pPr>
      <w:r w:rsidRPr="00755810">
        <w:rPr>
          <w:rFonts w:hint="eastAsia"/>
        </w:rPr>
        <w:t>張岩先生所批評的“循環論證”在他自己的文章中也很明顯。他衹用了五分之一的篇幅，僅僅根據簡單的文本對比，就草率地得出了《傅說之命》是僞作的結論，在後面五分之四的篇幅中，他將《傅說之命》的作者徑稱爲“作僞者”“現代張霸”，並且以此爲基礎展開論</w:t>
      </w:r>
      <w:r w:rsidRPr="00755810">
        <w:rPr>
          <w:rFonts w:hint="eastAsia"/>
        </w:rPr>
        <w:lastRenderedPageBreak/>
        <w:t>述。他先是以《術令》與傳世本《大禹謨》有相同文字，斷定《術令》就是《大禹謨》（把《大禹謨》當做真文獻與《術令》對比），再以此“《大禹謨》”與傳世本《大禹謨》有相同文字，得出“傳世本《大禹謨》不僞”。這難道不是明顯的“循環論證”嗎？難道不是對《清華簡》和《古文尚書》採取了雙重標準嗎？</w:t>
      </w:r>
    </w:p>
    <w:p w:rsidR="002A36C3" w:rsidRPr="00755810" w:rsidRDefault="002A36C3" w:rsidP="00CC4E87">
      <w:pPr>
        <w:pStyle w:val="aa"/>
        <w:ind w:firstLine="560"/>
      </w:pPr>
      <w:r w:rsidRPr="00755810">
        <w:rPr>
          <w:rFonts w:hint="eastAsia"/>
        </w:rPr>
        <w:t>對孫詒讓的觀點</w:t>
      </w:r>
      <w:r w:rsidRPr="00755810">
        <w:t>，張岩先生的反駁是非常消極</w:t>
      </w:r>
      <w:r w:rsidRPr="00755810">
        <w:rPr>
          <w:rFonts w:hint="eastAsia"/>
        </w:rPr>
        <w:t>、</w:t>
      </w:r>
      <w:r w:rsidRPr="00755810">
        <w:t>無力的。</w:t>
      </w:r>
      <w:r w:rsidRPr="00755810">
        <w:rPr>
          <w:rFonts w:hint="eastAsia"/>
        </w:rPr>
        <w:t>《術令》的文字爲何出現在傳世本《大禹謨》裡？他竟然以</w:t>
      </w:r>
      <w:r w:rsidRPr="00CC4E87">
        <w:rPr>
          <w:rStyle w:val="Char"/>
          <w:rFonts w:hint="eastAsia"/>
        </w:rPr>
        <w:t>“‘術令’有可能是‘大禹’之訛誤”</w:t>
      </w:r>
      <w:r w:rsidRPr="00755810">
        <w:rPr>
          <w:rFonts w:hint="eastAsia"/>
        </w:rPr>
        <w:t>來搪塞。訛誤不會是無緣無故的，“大禹”和“術令”有什麼能導致“訛誤”的聯繫嗎？能跟“說命”與“術令”的密切關係相提並論嗎？</w:t>
      </w:r>
    </w:p>
    <w:p w:rsidR="002A36C3" w:rsidRPr="00755810" w:rsidRDefault="002A36C3" w:rsidP="00CC4E87">
      <w:pPr>
        <w:pStyle w:val="aa"/>
        <w:ind w:firstLine="560"/>
      </w:pPr>
      <w:r w:rsidRPr="00755810">
        <w:rPr>
          <w:rFonts w:hint="eastAsia"/>
        </w:rPr>
        <w:t>“術令</w:t>
      </w:r>
      <w:r w:rsidRPr="00755810">
        <w:t>”即“</w:t>
      </w:r>
      <w:r w:rsidRPr="00755810">
        <w:rPr>
          <w:rFonts w:hint="eastAsia"/>
        </w:rPr>
        <w:t>說命”，現在已經爲學術界所公認，但是筆者發現，對於這組異文的成因（所以然），學者們還存在一些誤解，以致給人質疑的機會。下面就從文字、訓詁的角度談談這個問題，算是對孫詒讓說的一個補充。</w:t>
      </w:r>
    </w:p>
    <w:p w:rsidR="002A36C3" w:rsidRPr="00755810" w:rsidRDefault="002A36C3" w:rsidP="00CC4E87">
      <w:pPr>
        <w:pStyle w:val="aa"/>
        <w:ind w:firstLine="560"/>
      </w:pPr>
      <w:r w:rsidRPr="00755810">
        <w:rPr>
          <w:rFonts w:hint="eastAsia"/>
        </w:rPr>
        <w:t>想澄清這個問題的另一個目的，是要避免錯誤的積累。從歷史、文獻的角度看，既然《術令》就是《說命》（然），那麼“術”與“說”的具體關係（所以然之一）也就無關緊要了，因爲它們關注的重點是內容和思想。但是從文字、訓詁的角度看，卻並不是無關緊要的，因</w:t>
      </w:r>
      <w:r w:rsidRPr="00755810">
        <w:rPr>
          <w:rFonts w:hint="eastAsia"/>
        </w:rPr>
        <w:lastRenderedPageBreak/>
        <w:t>爲我們現在的每個結論，未來都可能作爲研究其它問題的依據。例如有學者認爲“說（好語）”與“怵（好語）”是音近通假，並以之證明“術”與“說”也是音近通假。但是“說”與“怵”並不是音近通假，而是同義詞替換，這樣其論證自然就不成立了。</w:t>
      </w:r>
    </w:p>
    <w:p w:rsidR="002A36C3" w:rsidRPr="00755810" w:rsidRDefault="002A36C3" w:rsidP="00CC4E87">
      <w:pPr>
        <w:pStyle w:val="aa"/>
        <w:ind w:firstLine="560"/>
      </w:pPr>
      <w:r w:rsidRPr="00755810">
        <w:rPr>
          <w:rFonts w:hint="eastAsia"/>
        </w:rPr>
        <w:t>如果我們現在把“術”與“說”也錯誤地當作音近通假，那麼我們未來就同樣可能以之爲“术”聲字與“兌”聲字相通的例證，而進一步導致其它的錯誤。所以筆者認爲，對於此類看似無關緊要的細節，只要有條件弄清楚，就一定要弄清楚，該是什麼性質，就是什麼性質，以避免錯誤的積累。</w:t>
      </w:r>
    </w:p>
    <w:p w:rsidR="002A36C3" w:rsidRPr="00755810" w:rsidRDefault="002A36C3" w:rsidP="00CC4E87">
      <w:pPr>
        <w:pStyle w:val="aa"/>
        <w:ind w:firstLine="560"/>
      </w:pPr>
      <w:r w:rsidRPr="00755810">
        <w:t>下文主要包括這幾個方面：</w:t>
      </w:r>
    </w:p>
    <w:p w:rsidR="002A36C3" w:rsidRPr="00755810" w:rsidRDefault="002A36C3" w:rsidP="00CC4E87">
      <w:pPr>
        <w:pStyle w:val="aa"/>
        <w:ind w:firstLine="560"/>
      </w:pPr>
      <w:r w:rsidRPr="00755810">
        <w:rPr>
          <w:rFonts w:hint="eastAsia"/>
        </w:rPr>
        <w:t>1、一些學者認爲“說命”寫作“術令”是音近通假，其證據不足（其實在意義上有聯繫）。</w:t>
      </w:r>
    </w:p>
    <w:p w:rsidR="002A36C3" w:rsidRPr="00755810" w:rsidRDefault="002A36C3" w:rsidP="00CC4E87">
      <w:pPr>
        <w:pStyle w:val="aa"/>
        <w:ind w:firstLine="560"/>
      </w:pPr>
      <w:r w:rsidRPr="00755810">
        <w:rPr>
          <w:rFonts w:hint="eastAsia"/>
        </w:rPr>
        <w:t>2、“說（好語）”與“怵（好語）”是容易被當作音近通假，而實際上是同義詞替換的典型實例（爲討論“說”與“術”的關係做鋪墊）。</w:t>
      </w:r>
    </w:p>
    <w:p w:rsidR="002A36C3" w:rsidRPr="00755810" w:rsidRDefault="002A36C3" w:rsidP="00CC4E87">
      <w:pPr>
        <w:pStyle w:val="aa"/>
        <w:ind w:firstLine="560"/>
      </w:pPr>
      <w:r w:rsidRPr="00755810">
        <w:rPr>
          <w:rFonts w:hint="eastAsia"/>
        </w:rPr>
        <w:t>3、“說”與“術”在述說義和欺騙義上爲同義詞（有同義替換的條件）。</w:t>
      </w:r>
    </w:p>
    <w:p w:rsidR="002A36C3" w:rsidRPr="00755810" w:rsidRDefault="002A36C3" w:rsidP="00CC4E87">
      <w:pPr>
        <w:pStyle w:val="aa"/>
        <w:ind w:firstLine="560"/>
      </w:pPr>
      <w:r w:rsidRPr="00755810">
        <w:rPr>
          <w:rFonts w:hint="eastAsia"/>
        </w:rPr>
        <w:t>4、“說”寫作“術”緣於傳抄者不知“說”是人名而將其誤讀爲動詞，這種可能性是存在的（結論可信的必要條件之一）。</w:t>
      </w:r>
    </w:p>
    <w:p w:rsidR="002A36C3" w:rsidRPr="00755810" w:rsidRDefault="002A36C3" w:rsidP="00CC4E87">
      <w:pPr>
        <w:pStyle w:val="aa"/>
        <w:ind w:firstLine="560"/>
      </w:pPr>
      <w:r w:rsidRPr="00755810">
        <w:rPr>
          <w:rFonts w:hint="eastAsia"/>
        </w:rPr>
        <w:lastRenderedPageBreak/>
        <w:t>5、《術令》“唯口出好興戎”出現在《大禹謨》裡，是因爲《大禹謨》的作者並未把“術令”理解爲篇名，遂將其抄入《大禹謨》（作僞痕跡之一）。</w:t>
      </w:r>
    </w:p>
    <w:p w:rsidR="002A36C3" w:rsidRPr="00755810" w:rsidRDefault="002A36C3" w:rsidP="00CC4E87">
      <w:pPr>
        <w:pStyle w:val="aa"/>
        <w:ind w:firstLine="560"/>
      </w:pPr>
      <w:r w:rsidRPr="00755810">
        <w:rPr>
          <w:rFonts w:hint="eastAsia"/>
        </w:rPr>
        <w:t>我們還將順便討論一組“术”聲字及其所表示的詞。</w:t>
      </w:r>
      <w:r w:rsidRPr="00755810">
        <w:t>同時，我們也再次注意到這種容易被當作音近通假的、</w:t>
      </w:r>
      <w:r w:rsidRPr="00755810">
        <w:rPr>
          <w:rFonts w:hint="eastAsia"/>
        </w:rPr>
        <w:t>兩個音近</w:t>
      </w:r>
      <w:r w:rsidRPr="00755810">
        <w:t>同義詞的替換現象</w:t>
      </w:r>
      <w:r w:rsidRPr="00755810">
        <w:rPr>
          <w:rFonts w:hint="eastAsia"/>
        </w:rPr>
        <w:t>。</w:t>
      </w:r>
    </w:p>
    <w:p w:rsidR="002A36C3" w:rsidRPr="00755810" w:rsidRDefault="002A36C3" w:rsidP="00755810"/>
    <w:p w:rsidR="002A36C3" w:rsidRPr="002A36C3" w:rsidRDefault="002A36C3" w:rsidP="00755810">
      <w:pPr>
        <w:rPr>
          <w:b/>
          <w:sz w:val="30"/>
          <w:szCs w:val="30"/>
        </w:rPr>
      </w:pPr>
      <w:r w:rsidRPr="002A36C3">
        <w:rPr>
          <w:rFonts w:hint="eastAsia"/>
          <w:b/>
          <w:sz w:val="30"/>
          <w:szCs w:val="30"/>
        </w:rPr>
        <w:t>一、“說命”寫作“術令”是音近通假的證據不足</w:t>
      </w:r>
    </w:p>
    <w:p w:rsidR="002A36C3" w:rsidRPr="00755810" w:rsidRDefault="002A36C3" w:rsidP="00755810"/>
    <w:p w:rsidR="002A36C3" w:rsidRPr="002A36C3" w:rsidRDefault="002A36C3" w:rsidP="00755810">
      <w:pPr>
        <w:rPr>
          <w:b/>
          <w:sz w:val="28"/>
          <w:szCs w:val="28"/>
        </w:rPr>
      </w:pPr>
      <w:r w:rsidRPr="002A36C3">
        <w:rPr>
          <w:rFonts w:hint="eastAsia"/>
          <w:b/>
          <w:sz w:val="28"/>
          <w:szCs w:val="28"/>
        </w:rPr>
        <w:t>1、一些學者認爲“說命”寫作“術令”是音近通假</w:t>
      </w:r>
    </w:p>
    <w:p w:rsidR="002A36C3" w:rsidRPr="00755810" w:rsidRDefault="002A36C3" w:rsidP="00755810"/>
    <w:p w:rsidR="002A36C3" w:rsidRPr="00755810" w:rsidRDefault="002A36C3" w:rsidP="002A36C3">
      <w:pPr>
        <w:pStyle w:val="aa"/>
        <w:ind w:firstLine="560"/>
      </w:pPr>
      <w:r w:rsidRPr="00755810">
        <w:rPr>
          <w:rFonts w:hint="eastAsia"/>
        </w:rPr>
        <w:t>“術令</w:t>
      </w:r>
      <w:r w:rsidRPr="00755810">
        <w:t>”讀爲“</w:t>
      </w:r>
      <w:r w:rsidRPr="00755810">
        <w:rPr>
          <w:rFonts w:hint="eastAsia"/>
        </w:rPr>
        <w:t>說命”，看起來非常簡單，所以孫詒讓衹是說“叚字”“音並相近”，而沒有具體解釋，但意思顯然是指音近通假（</w:t>
      </w:r>
      <w:r w:rsidRPr="00755810">
        <w:t>衹借音的，</w:t>
      </w:r>
      <w:r w:rsidRPr="00755810">
        <w:rPr>
          <w:rFonts w:hint="eastAsia"/>
        </w:rPr>
        <w:t>即</w:t>
      </w:r>
      <w:r w:rsidRPr="00755810">
        <w:t>狹義通假）</w:t>
      </w:r>
      <w:r w:rsidRPr="00755810">
        <w:rPr>
          <w:rFonts w:hint="eastAsia"/>
        </w:rPr>
        <w:t>。</w:t>
      </w:r>
    </w:p>
    <w:p w:rsidR="002A36C3" w:rsidRPr="002A36C3" w:rsidRDefault="002A36C3" w:rsidP="002A36C3">
      <w:pPr>
        <w:pStyle w:val="aa"/>
        <w:ind w:firstLine="560"/>
        <w:rPr>
          <w:rStyle w:val="Char"/>
        </w:rPr>
      </w:pPr>
      <w:r w:rsidRPr="00755810">
        <w:t>劉師培</w:t>
      </w:r>
      <w:r w:rsidRPr="00755810">
        <w:rPr>
          <w:rFonts w:hint="eastAsia"/>
        </w:rPr>
        <w:t>先生</w:t>
      </w:r>
      <w:r w:rsidRPr="00755810">
        <w:t>認爲：</w:t>
      </w:r>
      <w:r w:rsidRPr="002A36C3">
        <w:rPr>
          <w:rStyle w:val="Char"/>
        </w:rPr>
        <w:t>“《</w:t>
      </w:r>
      <w:r w:rsidRPr="002A36C3">
        <w:rPr>
          <w:rStyle w:val="Char"/>
          <w:rFonts w:hint="eastAsia"/>
        </w:rPr>
        <w:t>閒詁</w:t>
      </w:r>
      <w:r w:rsidRPr="002A36C3">
        <w:rPr>
          <w:rStyle w:val="Char"/>
        </w:rPr>
        <w:t>》……其說是也。古籍‘兌’‘隧’通用（《左傳·襄廿三年》：‘夜入且于之隧。’《禮記·檀弓下》鄭注引之云：‘“隧”或爲“兌”。’），‘隧’‘術’亦通用（如本書《耕柱》篇‘不遂’即‘不述’、《備城門》篇‘衝術’即‘衝遂’是也），‘說’叚爲‘遂’，因叚爲‘術’矣。”</w:t>
      </w:r>
      <w:r w:rsidRPr="002A36C3">
        <w:rPr>
          <w:rStyle w:val="Char"/>
        </w:rPr>
        <w:endnoteReference w:id="8"/>
      </w:r>
    </w:p>
    <w:p w:rsidR="002A36C3" w:rsidRPr="002A36C3" w:rsidRDefault="002A36C3" w:rsidP="002A36C3">
      <w:pPr>
        <w:pStyle w:val="aa"/>
        <w:ind w:firstLine="560"/>
        <w:rPr>
          <w:rStyle w:val="Char"/>
        </w:rPr>
      </w:pPr>
      <w:r w:rsidRPr="00755810">
        <w:rPr>
          <w:rFonts w:hint="eastAsia"/>
        </w:rPr>
        <w:t>《墨子閒詁》的點校者孫啟治先生說：</w:t>
      </w:r>
      <w:r w:rsidRPr="002A36C3">
        <w:rPr>
          <w:rStyle w:val="Char"/>
          <w:rFonts w:hint="eastAsia"/>
        </w:rPr>
        <w:t>“按孫說是。古文‘命’、</w:t>
      </w:r>
      <w:r w:rsidRPr="002A36C3">
        <w:rPr>
          <w:rStyle w:val="Char"/>
          <w:rFonts w:hint="eastAsia"/>
        </w:rPr>
        <w:lastRenderedPageBreak/>
        <w:t>‘令’本爲一字。‘術’從‘术’得聲，‘說’從‘兌’得聲，皆舌音字，一聲之轉。《史記·南越列傳》‘不可以說好語入見’，《索隱》‘說’作‘悅’，云‘《漢書》作“怵”’，亦足證孫說。”</w:t>
      </w:r>
      <w:r w:rsidRPr="002A36C3">
        <w:rPr>
          <w:rStyle w:val="Char"/>
        </w:rPr>
        <w:endnoteReference w:id="9"/>
      </w:r>
    </w:p>
    <w:p w:rsidR="002A36C3" w:rsidRPr="002A36C3" w:rsidRDefault="002A36C3" w:rsidP="002A36C3">
      <w:pPr>
        <w:pStyle w:val="aa"/>
        <w:ind w:firstLine="560"/>
        <w:rPr>
          <w:rStyle w:val="Char"/>
        </w:rPr>
      </w:pPr>
      <w:r w:rsidRPr="00755810">
        <w:rPr>
          <w:rFonts w:hint="eastAsia"/>
        </w:rPr>
        <w:t>殷作炎先生進一步說：</w:t>
      </w:r>
      <w:r w:rsidRPr="002A36C3">
        <w:rPr>
          <w:rStyle w:val="Char"/>
          <w:rFonts w:hint="eastAsia"/>
        </w:rPr>
        <w:t>“‘術’與‘說’的音轉：韻母旁轉，聲母旁紐。</w:t>
      </w:r>
    </w:p>
    <w:p w:rsidR="002A36C3" w:rsidRPr="00755810" w:rsidRDefault="002A36C3" w:rsidP="002A36C3">
      <w:pPr>
        <w:pStyle w:val="a3"/>
        <w:spacing w:before="540" w:after="540"/>
        <w:ind w:firstLine="496"/>
      </w:pPr>
      <w:r w:rsidRPr="00755810">
        <w:rPr>
          <w:rFonts w:hint="eastAsia"/>
        </w:rPr>
        <w:t>說（喜）  今音</w:t>
      </w:r>
      <w:r w:rsidRPr="00755810">
        <w:t>yuè</w:t>
      </w:r>
      <w:r w:rsidRPr="00755810">
        <w:rPr>
          <w:rFonts w:hint="eastAsia"/>
        </w:rPr>
        <w:t xml:space="preserve">  餘聲母  月韻部  </w:t>
      </w:r>
      <w:r w:rsidRPr="00755810">
        <w:rPr>
          <w:rFonts w:ascii="MS Mincho" w:eastAsia="MS Mincho" w:hAnsi="MS Mincho" w:cs="MS Mincho" w:hint="eastAsia"/>
        </w:rPr>
        <w:t>ʎ</w:t>
      </w:r>
      <w:r w:rsidRPr="00755810">
        <w:t>ǐwǎt</w:t>
      </w:r>
    </w:p>
    <w:p w:rsidR="002A36C3" w:rsidRPr="00755810" w:rsidRDefault="002A36C3" w:rsidP="002A36C3">
      <w:pPr>
        <w:pStyle w:val="a3"/>
        <w:spacing w:before="540" w:after="540"/>
        <w:ind w:firstLine="496"/>
      </w:pPr>
      <w:r w:rsidRPr="00755810">
        <w:rPr>
          <w:rFonts w:hint="eastAsia"/>
        </w:rPr>
        <w:t>術        今音</w:t>
      </w:r>
      <w:r w:rsidRPr="00755810">
        <w:t>yuè</w:t>
      </w:r>
      <w:r w:rsidRPr="00755810">
        <w:rPr>
          <w:rFonts w:hint="eastAsia"/>
        </w:rPr>
        <w:t xml:space="preserve">  船聲母  物韻部  </w:t>
      </w:r>
      <w:r w:rsidRPr="00755810">
        <w:rPr>
          <w:rFonts w:ascii="Cambria" w:hAnsi="Cambria" w:cs="Cambria"/>
        </w:rPr>
        <w:t>ȡ</w:t>
      </w:r>
      <w:r w:rsidRPr="00755810">
        <w:t>ǐw</w:t>
      </w:r>
      <w:r w:rsidRPr="00755810">
        <w:rPr>
          <w:rFonts w:ascii="MS Mincho" w:eastAsia="MS Mincho" w:hAnsi="MS Mincho" w:cs="MS Mincho" w:hint="eastAsia"/>
        </w:rPr>
        <w:t>ə</w:t>
      </w:r>
      <w:r w:rsidRPr="00755810">
        <w:t>t</w:t>
      </w:r>
      <w:r w:rsidRPr="00755810">
        <w:rPr>
          <w:rFonts w:hint="eastAsia"/>
        </w:rPr>
        <w:t xml:space="preserve"> ①</w:t>
      </w:r>
    </w:p>
    <w:p w:rsidR="002A36C3" w:rsidRPr="00755810" w:rsidRDefault="002A36C3" w:rsidP="002A36C3">
      <w:pPr>
        <w:pStyle w:val="a3"/>
        <w:spacing w:before="540" w:after="540"/>
        <w:ind w:firstLine="496"/>
      </w:pPr>
      <w:r w:rsidRPr="00755810">
        <w:rPr>
          <w:rFonts w:hint="eastAsia"/>
        </w:rPr>
        <w:t>（原文注）①‘術’字所涉物韻部的</w:t>
      </w:r>
      <w:r w:rsidRPr="00755810">
        <w:rPr>
          <w:rFonts w:ascii="MS Mincho" w:eastAsia="MS Mincho" w:hAnsi="MS Mincho" w:cs="MS Mincho" w:hint="eastAsia"/>
        </w:rPr>
        <w:t>ə</w:t>
      </w:r>
      <w:r w:rsidRPr="00755810">
        <w:rPr>
          <w:rFonts w:hint="eastAsia"/>
        </w:rPr>
        <w:t>音舌肌較松。</w:t>
      </w:r>
    </w:p>
    <w:p w:rsidR="002A36C3" w:rsidRPr="00755810" w:rsidRDefault="002A36C3" w:rsidP="002A36C3">
      <w:pPr>
        <w:pStyle w:val="a3"/>
        <w:spacing w:before="540" w:after="540"/>
        <w:ind w:firstLine="496"/>
      </w:pPr>
      <w:r w:rsidRPr="00755810">
        <w:rPr>
          <w:rFonts w:hint="eastAsia"/>
        </w:rPr>
        <w:t>（原文按）按：二字韻母主元音舌位相近，韻尾都是塞音-t。聲母發音部位相鄰，前者舌面中，後者舌面前。”</w:t>
      </w:r>
      <w:r w:rsidRPr="00755810">
        <w:endnoteReference w:id="10"/>
      </w:r>
    </w:p>
    <w:p w:rsidR="002A36C3" w:rsidRPr="00755810" w:rsidRDefault="002A36C3" w:rsidP="002A36C3">
      <w:pPr>
        <w:pStyle w:val="aa"/>
        <w:ind w:firstLine="560"/>
      </w:pPr>
      <w:r w:rsidRPr="00755810">
        <w:rPr>
          <w:rFonts w:hint="eastAsia"/>
        </w:rPr>
        <w:t>而反對孫詒讓觀點的學者，則認爲音近不足爲據，如羅根澤先生說：</w:t>
      </w:r>
      <w:r w:rsidRPr="002A36C3">
        <w:rPr>
          <w:rStyle w:val="Char"/>
          <w:rFonts w:hint="eastAsia"/>
        </w:rPr>
        <w:t>“‘術令’顯爲篇名；但孫氏謂爲《說命》，則未必然也。以聲音通假解古書，應有相當限制，否則子莫魏牟爲一人，莊周楊朱非二子，其淆溷錯謬，不知夷於胡底！”</w:t>
      </w:r>
      <w:r w:rsidRPr="00755810">
        <w:endnoteReference w:id="11"/>
      </w:r>
      <w:r w:rsidRPr="00755810">
        <w:rPr>
          <w:rFonts w:hint="eastAsia"/>
        </w:rPr>
        <w:t xml:space="preserve"> 前引張岩先生的文章，也是類似的看法。</w:t>
      </w:r>
    </w:p>
    <w:p w:rsidR="002A36C3" w:rsidRPr="00755810" w:rsidRDefault="002A36C3" w:rsidP="002A36C3">
      <w:pPr>
        <w:pStyle w:val="aa"/>
        <w:ind w:firstLine="560"/>
      </w:pPr>
      <w:r w:rsidRPr="00755810">
        <w:rPr>
          <w:rFonts w:hint="eastAsia"/>
        </w:rPr>
        <w:t>這些學者，不論是讚同還是反對孫詒讓，其“一聲之轉”“聲音通假”都應該是符合孫詒讓本意的。然而筆者認爲，《術令》之所以即是《說命》，除了內容上的聯繫，其語言文字上的依據，關鍵並不</w:t>
      </w:r>
      <w:r w:rsidRPr="00755810">
        <w:rPr>
          <w:rFonts w:hint="eastAsia"/>
        </w:rPr>
        <w:lastRenderedPageBreak/>
        <w:t>在篇名的字音，而在於詞義。“命”是“令”的孳乳字，兩者音近義同。儘管《說命》篇名形成於何時、最初是如何寫的，現在還不清楚，但無論如何，這組異文都不是音近通假，而是同義詞替換。這不必贅述，筆者想說的是，“說”與“術”也是同義詞替換，而非音近通假，音近可能起了一定作用，但不是主要因素。</w:t>
      </w:r>
    </w:p>
    <w:p w:rsidR="002A36C3" w:rsidRPr="00755810" w:rsidRDefault="002A36C3" w:rsidP="002A36C3">
      <w:pPr>
        <w:pStyle w:val="aa"/>
        <w:ind w:firstLine="560"/>
      </w:pPr>
      <w:r w:rsidRPr="00755810">
        <w:rPr>
          <w:rFonts w:hint="eastAsia"/>
        </w:rPr>
        <w:t>孫詒讓、劉師培、孫啟治、殷作炎等學者衹是從讀音入手解釋“說”與“術”的異文，是片面的，特別是劉師培說，證明力有限；而羅根澤、張岩等學者則認爲音近不足爲據。筆者在結論上讚同前者，而在對音近字的處理態度上，則傾向於後者。如果確如筆者上文所言，後者的反駁也就不能成立了，而前者的結論則可以獲得更多的證據。下面，筆者將嘗試以後者的態度去證明前者的結論。</w:t>
      </w:r>
    </w:p>
    <w:p w:rsidR="002A36C3" w:rsidRPr="00755810" w:rsidRDefault="002A36C3" w:rsidP="002A36C3">
      <w:pPr>
        <w:pStyle w:val="aa"/>
        <w:ind w:firstLine="560"/>
      </w:pPr>
      <w:r w:rsidRPr="00755810">
        <w:rPr>
          <w:rFonts w:hint="eastAsia"/>
        </w:rPr>
        <w:t>“術”與“說”聲母旁紐、韻母旁轉</w:t>
      </w:r>
      <w:r w:rsidRPr="00755810">
        <w:endnoteReference w:id="12"/>
      </w:r>
      <w:r w:rsidRPr="00755810">
        <w:rPr>
          <w:rFonts w:hint="eastAsia"/>
        </w:rPr>
        <w:t>，理論上固然可通；不過，理論上可通的字，即便是同音，實際上也不一定都能相通，認定相通還需要書證支持。這是學術界認可的原則</w:t>
      </w:r>
      <w:r w:rsidRPr="00755810">
        <w:endnoteReference w:id="13"/>
      </w:r>
      <w:r w:rsidRPr="00755810">
        <w:rPr>
          <w:rFonts w:hint="eastAsia"/>
        </w:rPr>
        <w:t>，然而“術”通“說（兌、悅）”恰恰缺乏書證。劉師培先生認爲，既然“兌”“隧”可通，“隧”“術”可通，所以“說”“術”也應可通。這看似有理，其實是值得懷疑的。</w:t>
      </w:r>
    </w:p>
    <w:p w:rsidR="002A36C3" w:rsidRPr="00755810" w:rsidRDefault="002A36C3" w:rsidP="002A36C3">
      <w:pPr>
        <w:pStyle w:val="aa"/>
        <w:ind w:firstLine="560"/>
      </w:pPr>
      <w:r w:rsidRPr="00755810">
        <w:rPr>
          <w:rFonts w:hint="eastAsia"/>
        </w:rPr>
        <w:t>從理論上說，即使甲通乙，乙通丙，甲也不一定能通丙。因爲能</w:t>
      </w:r>
      <w:r w:rsidRPr="00755810">
        <w:rPr>
          <w:rFonts w:hint="eastAsia"/>
        </w:rPr>
        <w:lastRenderedPageBreak/>
        <w:t>“通”的字有時衹是“音近”，也即“約等於”的關係，這種近似的傳遞會把差別放大。甲和乙、乙和丙都分別在可“通”的範圍內，甲和丙卻不一定也在此範圍內（這一點似乎越來越引起重視了）。只有兩者讀音完全相同（等於）時，才能採用這種傳遞的方法。</w:t>
      </w:r>
    </w:p>
    <w:p w:rsidR="002A36C3" w:rsidRPr="00755810" w:rsidRDefault="002A36C3" w:rsidP="002A36C3">
      <w:pPr>
        <w:pStyle w:val="aa"/>
        <w:ind w:firstLine="560"/>
      </w:pPr>
      <w:r w:rsidRPr="00755810">
        <w:rPr>
          <w:rFonts w:hint="eastAsia"/>
        </w:rPr>
        <w:t>從實際上說，即使同音字也不一定能通，這種推導出的間接關係跟語言事實相比，證明力就更有限了。語言事實是什麼呢？別說“說”和“術”，就是“术（朮）”聲字與“兌”聲字之間發生</w:t>
      </w:r>
      <w:r w:rsidRPr="00755810">
        <w:t>音近通假</w:t>
      </w:r>
      <w:r w:rsidRPr="00755810">
        <w:rPr>
          <w:rFonts w:hint="eastAsia"/>
        </w:rPr>
        <w:t>的確鑿實例也幾乎沒有。劉師培先生採用“隧（遂）”來間接地建立“說”與“術”的聯繫，就已經從側面證明了這一點。下面再從出土文獻和傳世文獻兩方面作一個簡單考察。</w:t>
      </w:r>
    </w:p>
    <w:p w:rsidR="002A36C3" w:rsidRPr="00755810" w:rsidRDefault="002A36C3" w:rsidP="00755810"/>
    <w:p w:rsidR="002A36C3" w:rsidRPr="002A36C3" w:rsidRDefault="002A36C3" w:rsidP="002A36C3">
      <w:pPr>
        <w:pStyle w:val="aa"/>
        <w:ind w:firstLine="562"/>
        <w:rPr>
          <w:b/>
        </w:rPr>
      </w:pPr>
      <w:r w:rsidRPr="002A36C3">
        <w:rPr>
          <w:rFonts w:hint="eastAsia"/>
          <w:b/>
        </w:rPr>
        <w:t>2、出土文獻缺乏“术”聲字通“兌”聲字之例</w:t>
      </w:r>
    </w:p>
    <w:p w:rsidR="002A36C3" w:rsidRPr="00755810" w:rsidRDefault="002A36C3" w:rsidP="00755810"/>
    <w:p w:rsidR="002A36C3" w:rsidRPr="00755810" w:rsidRDefault="002A36C3" w:rsidP="002A36C3">
      <w:pPr>
        <w:pStyle w:val="aa"/>
        <w:ind w:firstLine="560"/>
      </w:pPr>
      <w:r w:rsidRPr="00755810">
        <w:rPr>
          <w:rFonts w:hint="eastAsia"/>
        </w:rPr>
        <w:t>出土文獻方面，查王輝先生的《古文字通假字典》，</w:t>
      </w:r>
      <w:r w:rsidRPr="00755810">
        <w:t>跟</w:t>
      </w:r>
      <w:r w:rsidRPr="00755810">
        <w:rPr>
          <w:rFonts w:hint="eastAsia"/>
        </w:rPr>
        <w:t>“术”</w:t>
      </w:r>
      <w:r w:rsidRPr="00755810">
        <w:t>聲字相通的，除其自身，是“遂”“隧”“墜”“愆”；跟“兌”聲字相通的，除其自身，是“奪”“穴”“隋”。未見</w:t>
      </w:r>
      <w:r w:rsidRPr="00755810">
        <w:rPr>
          <w:rFonts w:hint="eastAsia"/>
        </w:rPr>
        <w:t>“术”</w:t>
      </w:r>
      <w:r w:rsidRPr="00755810">
        <w:t>聲字跟“兌”聲字相通之例</w:t>
      </w:r>
      <w:r w:rsidRPr="00755810">
        <w:endnoteReference w:id="14"/>
      </w:r>
      <w:r w:rsidRPr="00755810">
        <w:t>。</w:t>
      </w:r>
      <w:r w:rsidRPr="00755810">
        <w:rPr>
          <w:rFonts w:hint="eastAsia"/>
        </w:rPr>
        <w:t>白於藍先生的《簡帛古書通假字大系》僅收一例“脫與術”</w:t>
      </w:r>
      <w:r w:rsidRPr="00755810">
        <w:endnoteReference w:id="15"/>
      </w:r>
      <w:r w:rsidRPr="00755810">
        <w:rPr>
          <w:rFonts w:hint="eastAsia"/>
        </w:rPr>
        <w:t>，即北大漢簡《老子》</w:t>
      </w:r>
      <w:r w:rsidRPr="002A36C3">
        <w:rPr>
          <w:rStyle w:val="Char"/>
          <w:rFonts w:hint="eastAsia"/>
        </w:rPr>
        <w:t>“人之飢也，以其取食脫（術）之多也，是以飢。”</w:t>
      </w:r>
      <w:r w:rsidRPr="00755810">
        <w:rPr>
          <w:rFonts w:hint="eastAsia"/>
        </w:rPr>
        <w:t>但是，這恐怕不足爲據。簡文的“取食脫”，帛書《老子》</w:t>
      </w:r>
      <w:r w:rsidRPr="00755810">
        <w:rPr>
          <w:rFonts w:hint="eastAsia"/>
        </w:rPr>
        <w:lastRenderedPageBreak/>
        <w:t>甲本作“取食</w:t>
      </w:r>
      <w:r w:rsidRPr="00755810">
        <w:rPr>
          <w:rFonts w:hint="eastAsia"/>
        </w:rPr>
        <w:drawing>
          <wp:inline distT="0" distB="0" distL="0" distR="0" wp14:anchorId="7F8A652A" wp14:editId="7B580154">
            <wp:extent cx="197875" cy="203200"/>
            <wp:effectExtent l="19050" t="0" r="0" b="0"/>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96375" cy="201659"/>
                    </a:xfrm>
                    <a:prstGeom prst="rect">
                      <a:avLst/>
                    </a:prstGeom>
                    <a:noFill/>
                    <a:ln w="9525">
                      <a:noFill/>
                      <a:miter lim="800000"/>
                      <a:headEnd/>
                      <a:tailEnd/>
                    </a:ln>
                  </pic:spPr>
                </pic:pic>
              </a:graphicData>
            </a:graphic>
          </wp:inline>
        </w:drawing>
      </w:r>
      <w:r w:rsidRPr="00755810">
        <w:rPr>
          <w:rFonts w:hint="eastAsia"/>
        </w:rPr>
        <w:t>”，乙本作“取食</w:t>
      </w:r>
      <w:r w:rsidRPr="00755810">
        <w:rPr>
          <w:rFonts w:hint="eastAsia"/>
        </w:rPr>
        <w:drawing>
          <wp:inline distT="0" distB="0" distL="0" distR="0" wp14:anchorId="7A37E421" wp14:editId="4D37C67D">
            <wp:extent cx="220009" cy="204822"/>
            <wp:effectExtent l="19050" t="0" r="8591"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220059" cy="204868"/>
                    </a:xfrm>
                    <a:prstGeom prst="rect">
                      <a:avLst/>
                    </a:prstGeom>
                    <a:noFill/>
                    <a:ln w="9525">
                      <a:noFill/>
                      <a:miter lim="800000"/>
                      <a:headEnd/>
                      <a:tailEnd/>
                    </a:ln>
                  </pic:spPr>
                </pic:pic>
              </a:graphicData>
            </a:graphic>
          </wp:inline>
        </w:drawing>
      </w:r>
      <w:r w:rsidRPr="00755810">
        <w:rPr>
          <w:rFonts w:hint="eastAsia"/>
        </w:rPr>
        <w:t>”</w:t>
      </w:r>
      <w:r w:rsidRPr="00755810">
        <w:endnoteReference w:id="16"/>
      </w:r>
      <w:r w:rsidRPr="00755810">
        <w:rPr>
          <w:rFonts w:hint="eastAsia"/>
        </w:rPr>
        <w:t>，傳世本多作“上食稅”。對於簡帛中從“兌”的異文，主要有以下解釋：</w:t>
      </w:r>
    </w:p>
    <w:p w:rsidR="002A36C3" w:rsidRPr="00755810" w:rsidRDefault="002A36C3" w:rsidP="002A36C3">
      <w:pPr>
        <w:pStyle w:val="aa"/>
        <w:ind w:firstLine="560"/>
      </w:pPr>
      <w:r w:rsidRPr="00755810">
        <w:rPr>
          <w:rFonts w:hint="eastAsia"/>
        </w:rPr>
        <w:t>(1)、帛書整理小組首選讀爲“稅”，認爲</w:t>
      </w:r>
      <w:r w:rsidRPr="002A36C3">
        <w:rPr>
          <w:rStyle w:val="Char"/>
          <w:rFonts w:hint="eastAsia"/>
        </w:rPr>
        <w:t>“人自是以稅‘取食’者。”</w:t>
      </w:r>
      <w:r w:rsidRPr="00755810">
        <w:rPr>
          <w:rFonts w:hint="eastAsia"/>
        </w:rPr>
        <w:t>今按：此說雖讀爲“稅”，但與傳統上對“食稅”的理解不同，是把“取食”連讀，而將“食”“稅”分讀的，即“取食以稅（或於稅）”“以稅取食”。</w:t>
      </w:r>
    </w:p>
    <w:p w:rsidR="002A36C3" w:rsidRPr="00755810" w:rsidRDefault="002A36C3" w:rsidP="002A36C3">
      <w:pPr>
        <w:pStyle w:val="aa"/>
        <w:ind w:firstLine="560"/>
      </w:pPr>
      <w:r w:rsidRPr="00755810">
        <w:rPr>
          <w:rFonts w:hint="eastAsia"/>
        </w:rPr>
        <w:t>(2)、整理小組又讀爲“遂”，認爲是</w:t>
      </w:r>
      <w:r w:rsidRPr="002A36C3">
        <w:rPr>
          <w:rStyle w:val="Char"/>
          <w:rFonts w:hint="eastAsia"/>
        </w:rPr>
        <w:t>“音近通假，義爲道路。此句言人之飢由於其謀生之途徑多而不專一。”</w:t>
      </w:r>
    </w:p>
    <w:p w:rsidR="002A36C3" w:rsidRPr="00755810" w:rsidRDefault="002A36C3" w:rsidP="002A36C3">
      <w:pPr>
        <w:pStyle w:val="aa"/>
        <w:ind w:firstLine="560"/>
      </w:pPr>
      <w:r w:rsidRPr="00755810">
        <w:rPr>
          <w:rFonts w:hint="eastAsia"/>
        </w:rPr>
        <w:t>(3)、整理小組又讀爲“術”，義同上</w:t>
      </w:r>
      <w:r w:rsidRPr="00755810">
        <w:endnoteReference w:id="17"/>
      </w:r>
      <w:r w:rsidRPr="00755810">
        <w:rPr>
          <w:rFonts w:hint="eastAsia"/>
        </w:rPr>
        <w:t>。後來整理小組又對此說進行了補充，認爲</w:t>
      </w:r>
      <w:r w:rsidRPr="002A36C3">
        <w:rPr>
          <w:rStyle w:val="Char"/>
          <w:rFonts w:hint="eastAsia"/>
        </w:rPr>
        <w:t>“《韓非子·解老》：‘工人數變業則失其功，作者數摇徙則亡其功。’《淮南子·詮言》：‘賈多端則貧，工多技則窮，心不一也。’即此義。”</w:t>
      </w:r>
      <w:r w:rsidRPr="00755810">
        <w:endnoteReference w:id="18"/>
      </w:r>
      <w:r w:rsidRPr="00755810">
        <w:rPr>
          <w:rFonts w:hint="eastAsia"/>
        </w:rPr>
        <w:t xml:space="preserve"> 今按：“取食</w:t>
      </w:r>
      <w:r w:rsidRPr="00755810">
        <w:rPr>
          <w:rFonts w:hint="eastAsia"/>
        </w:rPr>
        <w:drawing>
          <wp:inline distT="0" distB="0" distL="0" distR="0" wp14:anchorId="6FC69707" wp14:editId="309CDDC8">
            <wp:extent cx="197875" cy="203200"/>
            <wp:effectExtent l="19050" t="0" r="0" b="0"/>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96375" cy="201659"/>
                    </a:xfrm>
                    <a:prstGeom prst="rect">
                      <a:avLst/>
                    </a:prstGeom>
                    <a:noFill/>
                    <a:ln w="9525">
                      <a:noFill/>
                      <a:miter lim="800000"/>
                      <a:headEnd/>
                      <a:tailEnd/>
                    </a:ln>
                  </pic:spPr>
                </pic:pic>
              </a:graphicData>
            </a:graphic>
          </wp:inline>
        </w:drawing>
      </w:r>
      <w:r w:rsidRPr="00755810">
        <w:rPr>
          <w:rFonts w:hint="eastAsia"/>
        </w:rPr>
        <w:t>”即取食之術。</w:t>
      </w:r>
    </w:p>
    <w:p w:rsidR="002A36C3" w:rsidRPr="002A36C3" w:rsidRDefault="002A36C3" w:rsidP="002A36C3">
      <w:pPr>
        <w:pStyle w:val="aa"/>
        <w:ind w:firstLine="560"/>
        <w:rPr>
          <w:rStyle w:val="Char"/>
        </w:rPr>
      </w:pPr>
      <w:r w:rsidRPr="00755810">
        <w:rPr>
          <w:rFonts w:hint="eastAsia"/>
        </w:rPr>
        <w:t>(4)、裘錫圭先生讀爲“隧”，當道路講，“取食</w:t>
      </w:r>
      <w:r w:rsidRPr="00755810">
        <w:rPr>
          <w:rFonts w:hint="eastAsia"/>
        </w:rPr>
        <w:drawing>
          <wp:inline distT="0" distB="0" distL="0" distR="0" wp14:anchorId="0CF50D6A" wp14:editId="30104120">
            <wp:extent cx="197875" cy="203200"/>
            <wp:effectExtent l="19050" t="0" r="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96375" cy="201659"/>
                    </a:xfrm>
                    <a:prstGeom prst="rect">
                      <a:avLst/>
                    </a:prstGeom>
                    <a:noFill/>
                    <a:ln w="9525">
                      <a:noFill/>
                      <a:miter lim="800000"/>
                      <a:headEnd/>
                      <a:tailEnd/>
                    </a:ln>
                  </pic:spPr>
                </pic:pic>
              </a:graphicData>
            </a:graphic>
          </wp:inline>
        </w:drawing>
      </w:r>
      <w:r w:rsidRPr="00755810">
        <w:rPr>
          <w:rFonts w:hint="eastAsia"/>
        </w:rPr>
        <w:t>”是“取得食物的途徑”</w:t>
      </w:r>
      <w:r w:rsidRPr="00755810">
        <w:endnoteReference w:id="19"/>
      </w:r>
      <w:r w:rsidRPr="00755810">
        <w:rPr>
          <w:rFonts w:hint="eastAsia"/>
        </w:rPr>
        <w:t>。裘先生後又補充說：讀爲“術”，</w:t>
      </w:r>
      <w:r w:rsidRPr="002A36C3">
        <w:rPr>
          <w:rStyle w:val="Char"/>
          <w:rFonts w:hint="eastAsia"/>
        </w:rPr>
        <w:t>“這當然是可以的，但我們認爲與其讀爲‘術’，還不如讀爲與‘兌’聲更近的、當道路講的‘隧’……結合今本《老子》‘塞其兌’（見第五十二、五十六章）、‘開（簡帛本作“啟”）其兌’（見第五十二章）之‘兌’的異文來看，‘</w:t>
      </w:r>
      <w:r w:rsidRPr="002A36C3">
        <w:rPr>
          <w:rStyle w:val="Char"/>
          <w:rFonts w:hint="eastAsia"/>
        </w:rPr>
        <w:drawing>
          <wp:inline distT="0" distB="0" distL="0" distR="0" wp14:anchorId="7A9F2324" wp14:editId="461416F6">
            <wp:extent cx="197875" cy="203200"/>
            <wp:effectExtent l="1905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96375" cy="201659"/>
                    </a:xfrm>
                    <a:prstGeom prst="rect">
                      <a:avLst/>
                    </a:prstGeom>
                    <a:noFill/>
                    <a:ln w="9525">
                      <a:noFill/>
                      <a:miter lim="800000"/>
                      <a:headEnd/>
                      <a:tailEnd/>
                    </a:ln>
                  </pic:spPr>
                </pic:pic>
              </a:graphicData>
            </a:graphic>
          </wp:inline>
        </w:drawing>
      </w:r>
      <w:r w:rsidRPr="002A36C3">
        <w:rPr>
          <w:rStyle w:val="Char"/>
          <w:rFonts w:hint="eastAsia"/>
        </w:rPr>
        <w:t>’當讀爲‘隧’就更明顯了。”</w:t>
      </w:r>
      <w:r w:rsidRPr="002A36C3">
        <w:rPr>
          <w:rStyle w:val="Char"/>
        </w:rPr>
        <w:endnoteReference w:id="20"/>
      </w:r>
    </w:p>
    <w:p w:rsidR="002A36C3" w:rsidRPr="00755810" w:rsidRDefault="002A36C3" w:rsidP="002A36C3">
      <w:pPr>
        <w:pStyle w:val="aa"/>
        <w:ind w:firstLine="560"/>
      </w:pPr>
      <w:r w:rsidRPr="00755810">
        <w:rPr>
          <w:rFonts w:hint="eastAsia"/>
        </w:rPr>
        <w:lastRenderedPageBreak/>
        <w:t>(5)、許抗生先生讀爲“稅”，並將這一句翻譯爲：</w:t>
      </w:r>
      <w:r w:rsidRPr="002A36C3">
        <w:rPr>
          <w:rStyle w:val="Char"/>
          <w:rFonts w:hint="eastAsia"/>
        </w:rPr>
        <w:t>“人們所以飢餓，就在於收稅食稅的太多，因此飢餓。”</w:t>
      </w:r>
      <w:r w:rsidRPr="00755810">
        <w:t xml:space="preserve"> </w:t>
      </w:r>
      <w:r w:rsidRPr="00755810">
        <w:endnoteReference w:id="21"/>
      </w:r>
      <w:r w:rsidRPr="00755810">
        <w:rPr>
          <w:rFonts w:hint="eastAsia"/>
        </w:rPr>
        <w:t xml:space="preserve"> 今按：此譯文將“取”“食”當作並列的動詞，“稅”是賓語，“其”沒有譯出；將“多”理解爲“收稅食稅的（人）”多，而不是“稅”多，當然最終意思差別不大。</w:t>
      </w:r>
    </w:p>
    <w:p w:rsidR="002A36C3" w:rsidRPr="00755810" w:rsidRDefault="002A36C3" w:rsidP="002A36C3">
      <w:pPr>
        <w:pStyle w:val="aa"/>
        <w:ind w:firstLine="560"/>
      </w:pPr>
      <w:r w:rsidRPr="00755810">
        <w:rPr>
          <w:rFonts w:hint="eastAsia"/>
        </w:rPr>
        <w:t>(6)、高明先生讀爲“稅”，認爲</w:t>
      </w:r>
      <w:r w:rsidRPr="002A36C3">
        <w:rPr>
          <w:rStyle w:val="Char"/>
          <w:rFonts w:hint="eastAsia"/>
        </w:rPr>
        <w:t>“‘以’字爲介詞，在此表示事之所因；‘其’字爲代詞，作句中主語；‘取’字爲動詞；‘稅’字爲賓詞；‘食’字乃‘稅’之定語。……‘食稅’指糧食之稅，經文猶言因國君榨取糧食之稅過多，是以造成飢荒。”</w:t>
      </w:r>
      <w:r w:rsidRPr="00755810">
        <w:endnoteReference w:id="22"/>
      </w:r>
      <w:r w:rsidRPr="00755810">
        <w:rPr>
          <w:rFonts w:hint="eastAsia"/>
        </w:rPr>
        <w:t xml:space="preserve"> 今按：如此，則“其”是指國君，“取”爲主動式，主語是國君。</w:t>
      </w:r>
    </w:p>
    <w:p w:rsidR="002A36C3" w:rsidRPr="00755810" w:rsidRDefault="002A36C3" w:rsidP="002A36C3">
      <w:pPr>
        <w:pStyle w:val="aa"/>
        <w:ind w:firstLine="560"/>
      </w:pPr>
      <w:r w:rsidRPr="00755810">
        <w:rPr>
          <w:rFonts w:hint="eastAsia"/>
        </w:rPr>
        <w:t>(7)、李零先生讀爲“稅”，認爲</w:t>
      </w:r>
      <w:r w:rsidRPr="002A36C3">
        <w:rPr>
          <w:rStyle w:val="Char"/>
          <w:rFonts w:hint="eastAsia"/>
        </w:rPr>
        <w:t>“這裡的‘其’是‘人’，即下文的‘百姓’和‘民’，不是指統治者。‘取食稅’是被取食稅。”</w:t>
      </w:r>
      <w:r w:rsidRPr="00755810">
        <w:endnoteReference w:id="23"/>
      </w:r>
    </w:p>
    <w:p w:rsidR="002A36C3" w:rsidRPr="00755810" w:rsidRDefault="002A36C3" w:rsidP="002A36C3">
      <w:pPr>
        <w:pStyle w:val="aa"/>
        <w:ind w:firstLine="560"/>
      </w:pPr>
      <w:r w:rsidRPr="00755810">
        <w:rPr>
          <w:rFonts w:hint="eastAsia"/>
        </w:rPr>
        <w:t>(8)、北大簡《老子》資料報告的編撰人韓巍先生說：</w:t>
      </w:r>
      <w:r w:rsidRPr="002A36C3">
        <w:rPr>
          <w:rStyle w:val="Char"/>
          <w:rFonts w:hint="eastAsia"/>
        </w:rPr>
        <w:t>“‘脫’，……傳世本作‘稅’。整理組認爲‘稅’可讀爲‘術’，一說諸字皆從‘兌’，‘兌’與‘隧’音近可通；案二說皆有理，‘術’（船母物部）、‘隧’（邪母物部）皆有‘途徑’之義，與‘兌’（定母月部）音近可通。此句本義是指人取得食物的手段過多，……”</w:t>
      </w:r>
      <w:r w:rsidRPr="00755810">
        <w:endnoteReference w:id="24"/>
      </w:r>
    </w:p>
    <w:p w:rsidR="002A36C3" w:rsidRPr="00755810" w:rsidRDefault="002A36C3" w:rsidP="002A36C3">
      <w:pPr>
        <w:pStyle w:val="aa"/>
        <w:ind w:firstLine="560"/>
      </w:pPr>
      <w:r w:rsidRPr="00755810">
        <w:rPr>
          <w:rFonts w:hint="eastAsia"/>
        </w:rPr>
        <w:t>顯然，這些字的讀法尚無定論。讀爲“術”本身就處於有待驗證之列，可靠性還不如以“術令”爲“說命”之說。因爲“術令”與“說</w:t>
      </w:r>
      <w:r w:rsidRPr="00755810">
        <w:rPr>
          <w:rFonts w:hint="eastAsia"/>
        </w:rPr>
        <w:lastRenderedPageBreak/>
        <w:t>命”是實際存在的異文，“術令”即“說命”，是通過對有相似内容的兩篇文獻的篇名進行對照而得出的結論。“然”是沒有問題的，本文討論的衹是“所以然”。而“脫”讀爲“術”则衹是一種推測的讀法，並不是實際存在的異文，在“然”上都有問題，不能證明“說”與“術”的關係。兩者更不能“互證”，否則將構成“循環論證”。退一步講，它們讀爲“術”即使可信，也是“孤證”，不能改變“术”聲字與“兌”聲字音近通假之例極少的語言事實。</w:t>
      </w:r>
    </w:p>
    <w:p w:rsidR="002A36C3" w:rsidRPr="00755810" w:rsidRDefault="002A36C3" w:rsidP="00755810"/>
    <w:p w:rsidR="002A36C3" w:rsidRPr="002A36C3" w:rsidRDefault="002A36C3" w:rsidP="002A36C3">
      <w:pPr>
        <w:pStyle w:val="aa"/>
        <w:ind w:firstLine="562"/>
        <w:rPr>
          <w:b/>
        </w:rPr>
      </w:pPr>
      <w:r w:rsidRPr="002A36C3">
        <w:rPr>
          <w:rFonts w:hint="eastAsia"/>
          <w:b/>
        </w:rPr>
        <w:t>3、傳世文獻缺乏“术”聲字通“兌”聲字之例</w:t>
      </w:r>
    </w:p>
    <w:p w:rsidR="002A36C3" w:rsidRPr="00755810" w:rsidRDefault="002A36C3" w:rsidP="00755810"/>
    <w:p w:rsidR="002A36C3" w:rsidRPr="00755810" w:rsidRDefault="002A36C3" w:rsidP="002A36C3">
      <w:pPr>
        <w:pStyle w:val="aa"/>
        <w:ind w:firstLine="560"/>
      </w:pPr>
      <w:r w:rsidRPr="00755810">
        <w:rPr>
          <w:rFonts w:hint="eastAsia"/>
        </w:rPr>
        <w:t>同樣的情況也出現在傳世文獻裡。“术（朮）”聲字與“兌”聲字通用，高亨先生的《古字通假會典》僅收三例，但有兩例是“術令”與“說（兌）命”自己，並不能作爲證據。另一例是“怵”與“說”：《史記·南越列傳》</w:t>
      </w:r>
      <w:r w:rsidRPr="002A36C3">
        <w:rPr>
          <w:rStyle w:val="Char"/>
          <w:rFonts w:hint="eastAsia"/>
        </w:rPr>
        <w:t>“不可以</w:t>
      </w:r>
      <w:r w:rsidRPr="002A36C3">
        <w:rPr>
          <w:rStyle w:val="Char"/>
          <w:rFonts w:hint="eastAsia"/>
          <w:b/>
          <w:sz w:val="32"/>
          <w:szCs w:val="32"/>
        </w:rPr>
        <w:t>說</w:t>
      </w:r>
      <w:r w:rsidRPr="002A36C3">
        <w:rPr>
          <w:rStyle w:val="Char"/>
          <w:rFonts w:hint="eastAsia"/>
        </w:rPr>
        <w:t>好語入見”</w:t>
      </w:r>
      <w:r w:rsidRPr="00755810">
        <w:rPr>
          <w:rFonts w:hint="eastAsia"/>
        </w:rPr>
        <w:t>，《漢書·南粵傳》作“不可以</w:t>
      </w:r>
      <w:r w:rsidRPr="002A36C3">
        <w:rPr>
          <w:rFonts w:ascii="楷体" w:eastAsia="楷体" w:hAnsi="楷体" w:hint="eastAsia"/>
          <w:b/>
          <w:sz w:val="32"/>
          <w:szCs w:val="32"/>
        </w:rPr>
        <w:t>怵</w:t>
      </w:r>
      <w:r w:rsidRPr="00755810">
        <w:rPr>
          <w:rFonts w:hint="eastAsia"/>
        </w:rPr>
        <w:t>好語入見”</w:t>
      </w:r>
      <w:r w:rsidRPr="00755810">
        <w:endnoteReference w:id="25"/>
      </w:r>
      <w:r w:rsidRPr="00755810">
        <w:rPr>
          <w:rFonts w:hint="eastAsia"/>
        </w:rPr>
        <w:t>。</w:t>
      </w:r>
    </w:p>
    <w:p w:rsidR="002A36C3" w:rsidRPr="00755810" w:rsidRDefault="002A36C3" w:rsidP="002A36C3">
      <w:pPr>
        <w:pStyle w:val="aa"/>
        <w:ind w:firstLine="560"/>
      </w:pPr>
      <w:r w:rsidRPr="00755810">
        <w:rPr>
          <w:rFonts w:hint="eastAsia"/>
        </w:rPr>
        <w:t>跟“脫”與“術”不同，“說”與“怵”是實際存在的異文。這個例子孫啟治先生也提到了，似乎可以證明“术”聲的“術”亦可與“兌”聲的“說”相通。但是我們細審之下不難發現，“說”與“怵”也不是音近通假，更非訛誤，而一樣是同義詞替換。“怵”讀爲“訹”，訓爲</w:t>
      </w:r>
      <w:r w:rsidRPr="00755810">
        <w:rPr>
          <w:rFonts w:hint="eastAsia"/>
        </w:rPr>
        <w:lastRenderedPageBreak/>
        <w:t>“誘”；而“說”由勸說義亦可引申出“誘”義，兩者爲同義詞。這是“說”可以改寫爲“怵”的主要原因，音近衹是次要原因。可見，此例同樣不足爲據，後文還要詳細解釋。高亨先生此書用的是“廣義通假”，收錄異文的標準比較寬泛，並不限於</w:t>
      </w:r>
      <w:r w:rsidRPr="00755810">
        <w:t>音近通假</w:t>
      </w:r>
      <w:r w:rsidRPr="00755810">
        <w:rPr>
          <w:rFonts w:hint="eastAsia"/>
        </w:rPr>
        <w:t>，這一點董治安先生在《前言》裡已經作了說明</w:t>
      </w:r>
      <w:r w:rsidRPr="00755810">
        <w:endnoteReference w:id="26"/>
      </w:r>
      <w:r w:rsidRPr="00755810">
        <w:rPr>
          <w:rFonts w:hint="eastAsia"/>
        </w:rPr>
        <w:t>。</w:t>
      </w:r>
    </w:p>
    <w:p w:rsidR="002A36C3" w:rsidRPr="00755810" w:rsidRDefault="002A36C3" w:rsidP="002A36C3">
      <w:pPr>
        <w:pStyle w:val="aa"/>
        <w:ind w:firstLine="560"/>
      </w:pPr>
      <w:r w:rsidRPr="00755810">
        <w:rPr>
          <w:rFonts w:hint="eastAsia"/>
        </w:rPr>
        <w:t>以上，我們以工具書爲線索進行了簡單考察，當然不能保證沒有遺漏；不過從這些情況看，如果說“術”與“說”——甚至是“术”聲字與“兌”聲字——之间的確鑿的</w:t>
      </w:r>
      <w:r w:rsidRPr="00755810">
        <w:t>音近通假</w:t>
      </w:r>
      <w:r w:rsidRPr="00755810">
        <w:rPr>
          <w:rFonts w:hint="eastAsia"/>
        </w:rPr>
        <w:t>現象極其少見，應該是沒有問題的。總之，認爲“術”與“說（兌、悅）”是</w:t>
      </w:r>
      <w:r w:rsidRPr="00755810">
        <w:t>音近通假</w:t>
      </w:r>
      <w:r w:rsidRPr="00755810">
        <w:rPr>
          <w:rFonts w:hint="eastAsia"/>
        </w:rPr>
        <w:t>，缺乏書證，不可盡信。</w:t>
      </w:r>
    </w:p>
    <w:p w:rsidR="002A36C3" w:rsidRPr="00755810" w:rsidRDefault="002A36C3" w:rsidP="00755810"/>
    <w:p w:rsidR="002A36C3" w:rsidRPr="002A36C3" w:rsidRDefault="002A36C3" w:rsidP="002A36C3">
      <w:pPr>
        <w:pStyle w:val="aa"/>
        <w:ind w:firstLine="602"/>
        <w:rPr>
          <w:b/>
          <w:sz w:val="30"/>
          <w:szCs w:val="30"/>
        </w:rPr>
      </w:pPr>
      <w:r w:rsidRPr="002A36C3">
        <w:rPr>
          <w:rFonts w:hint="eastAsia"/>
          <w:b/>
          <w:sz w:val="30"/>
          <w:szCs w:val="30"/>
        </w:rPr>
        <w:t>二、釋“怵好語”及一組“术”聲字</w:t>
      </w:r>
    </w:p>
    <w:p w:rsidR="002A36C3" w:rsidRPr="00755810" w:rsidRDefault="002A36C3" w:rsidP="00755810"/>
    <w:p w:rsidR="002A36C3" w:rsidRPr="00755810" w:rsidRDefault="002A36C3" w:rsidP="002A36C3">
      <w:pPr>
        <w:pStyle w:val="aa"/>
        <w:ind w:firstLine="560"/>
      </w:pPr>
      <w:r w:rsidRPr="00755810">
        <w:rPr>
          <w:rFonts w:hint="eastAsia"/>
        </w:rPr>
        <w:t>在講“術令”與“說命”的關係之前，我們有必要來看一個表面上似乎是音近通假，而實際上卻是同義詞替換的典型實例：</w:t>
      </w:r>
    </w:p>
    <w:p w:rsidR="002A36C3" w:rsidRPr="00755810" w:rsidRDefault="002A36C3" w:rsidP="002A36C3">
      <w:pPr>
        <w:pStyle w:val="aa"/>
        <w:ind w:firstLine="560"/>
      </w:pPr>
      <w:r w:rsidRPr="00755810">
        <w:rPr>
          <w:rFonts w:hint="eastAsia"/>
        </w:rPr>
        <w:t>《史記·南越列傳》：</w:t>
      </w:r>
      <w:r w:rsidRPr="002A36C3">
        <w:rPr>
          <w:rStyle w:val="Char"/>
          <w:rFonts w:hint="eastAsia"/>
        </w:rPr>
        <w:t>“要之不可以</w:t>
      </w:r>
      <w:r w:rsidRPr="002A36C3">
        <w:rPr>
          <w:rStyle w:val="Char"/>
          <w:rFonts w:hint="eastAsia"/>
          <w:b/>
          <w:sz w:val="32"/>
          <w:szCs w:val="32"/>
        </w:rPr>
        <w:t>說</w:t>
      </w:r>
      <w:r w:rsidRPr="002A36C3">
        <w:rPr>
          <w:rStyle w:val="Char"/>
          <w:rFonts w:hint="eastAsia"/>
        </w:rPr>
        <w:t>好語入見。”</w:t>
      </w:r>
    </w:p>
    <w:p w:rsidR="002A36C3" w:rsidRPr="00755810" w:rsidRDefault="002A36C3" w:rsidP="002A36C3">
      <w:pPr>
        <w:pStyle w:val="aa"/>
        <w:ind w:firstLine="560"/>
      </w:pPr>
      <w:r w:rsidRPr="00755810">
        <w:rPr>
          <w:rFonts w:hint="eastAsia"/>
        </w:rPr>
        <w:t>《漢書·南粵傳》：</w:t>
      </w:r>
      <w:r w:rsidRPr="002A36C3">
        <w:rPr>
          <w:rStyle w:val="Char"/>
          <w:rFonts w:hint="eastAsia"/>
        </w:rPr>
        <w:t>“要之不可以</w:t>
      </w:r>
      <w:r w:rsidRPr="002A36C3">
        <w:rPr>
          <w:rStyle w:val="Char"/>
          <w:rFonts w:hint="eastAsia"/>
          <w:b/>
          <w:sz w:val="32"/>
          <w:szCs w:val="32"/>
        </w:rPr>
        <w:t>怵</w:t>
      </w:r>
      <w:r w:rsidRPr="002A36C3">
        <w:rPr>
          <w:rStyle w:val="Char"/>
          <w:rFonts w:hint="eastAsia"/>
        </w:rPr>
        <w:t>好語入見。”</w:t>
      </w:r>
    </w:p>
    <w:p w:rsidR="002A36C3" w:rsidRPr="00755810" w:rsidRDefault="002A36C3" w:rsidP="002A36C3">
      <w:pPr>
        <w:pStyle w:val="aa"/>
        <w:ind w:firstLine="560"/>
      </w:pPr>
      <w:r w:rsidRPr="00755810">
        <w:rPr>
          <w:rFonts w:hint="eastAsia"/>
        </w:rPr>
        <w:t>把這組異文的關係弄清楚，“術令”與“說命”的關係自然水到渠成。孫啟治先生以之作爲“術”可以與“說”音近通假的證據，但</w:t>
      </w:r>
      <w:r w:rsidRPr="00755810">
        <w:rPr>
          <w:rFonts w:hint="eastAsia"/>
        </w:rPr>
        <w:lastRenderedPageBreak/>
        <w:t>是這組異文的成因也不是</w:t>
      </w:r>
      <w:r w:rsidRPr="00755810">
        <w:t>音近通假</w:t>
      </w:r>
      <w:r w:rsidRPr="00755810">
        <w:rPr>
          <w:rFonts w:hint="eastAsia"/>
        </w:rPr>
        <w:t>，而一樣是同義詞替換。音近可能起到了一定作用，但不是主要因素。這裡詳細解釋一下。</w:t>
      </w:r>
    </w:p>
    <w:p w:rsidR="002A36C3" w:rsidRPr="00755810" w:rsidRDefault="002A36C3" w:rsidP="002A36C3">
      <w:pPr>
        <w:pStyle w:val="aa"/>
        <w:ind w:firstLine="560"/>
      </w:pPr>
      <w:r w:rsidRPr="00755810">
        <w:rPr>
          <w:rFonts w:hint="eastAsia"/>
        </w:rPr>
        <w:t>《史記索隱》注“說好語”曰：“悅好語入見。悅，</w:t>
      </w:r>
      <w:r w:rsidRPr="002A36C3">
        <w:rPr>
          <w:rStyle w:val="Char"/>
          <w:rFonts w:hint="eastAsia"/>
        </w:rPr>
        <w:t>《漢書》作</w:t>
      </w:r>
      <w:r w:rsidRPr="002A36C3">
        <w:rPr>
          <w:rStyle w:val="Char"/>
        </w:rPr>
        <w:t>‘</w:t>
      </w:r>
      <w:r w:rsidRPr="002A36C3">
        <w:rPr>
          <w:rStyle w:val="Char"/>
          <w:rFonts w:hint="eastAsia"/>
        </w:rPr>
        <w:t>怵</w:t>
      </w:r>
      <w:r w:rsidRPr="002A36C3">
        <w:rPr>
          <w:rStyle w:val="Char"/>
        </w:rPr>
        <w:t>’</w:t>
      </w:r>
      <w:r w:rsidRPr="002A36C3">
        <w:rPr>
          <w:rStyle w:val="Char"/>
          <w:rFonts w:hint="eastAsia"/>
        </w:rPr>
        <w:t>。韋昭云</w:t>
      </w:r>
      <w:r w:rsidRPr="002A36C3">
        <w:rPr>
          <w:rStyle w:val="Char"/>
        </w:rPr>
        <w:t>‘</w:t>
      </w:r>
      <w:r w:rsidRPr="002A36C3">
        <w:rPr>
          <w:rStyle w:val="Char"/>
          <w:rFonts w:hint="eastAsia"/>
        </w:rPr>
        <w:t>誘怵好語</w:t>
      </w:r>
      <w:r w:rsidRPr="002A36C3">
        <w:rPr>
          <w:rStyle w:val="Char"/>
        </w:rPr>
        <w:t>’</w:t>
      </w:r>
      <w:r w:rsidRPr="002A36C3">
        <w:rPr>
          <w:rStyle w:val="Char"/>
          <w:rFonts w:hint="eastAsia"/>
        </w:rPr>
        <w:t>。”</w:t>
      </w:r>
      <w:r w:rsidRPr="00755810">
        <w:endnoteReference w:id="27"/>
      </w:r>
      <w:r w:rsidRPr="00755810">
        <w:rPr>
          <w:rFonts w:hint="eastAsia"/>
        </w:rPr>
        <w:t>《南粵傳》顏師古注：</w:t>
      </w:r>
      <w:r w:rsidRPr="002A36C3">
        <w:rPr>
          <w:rStyle w:val="Char"/>
          <w:rFonts w:hint="eastAsia"/>
        </w:rPr>
        <w:t>“怵，誘也。不可被誘怵以好語而入漢朝也。怵音先聿反。”</w:t>
      </w:r>
      <w:r w:rsidRPr="00755810">
        <w:endnoteReference w:id="28"/>
      </w:r>
      <w:r w:rsidRPr="00755810">
        <w:rPr>
          <w:rFonts w:hint="eastAsia"/>
        </w:rPr>
        <w:t>《武帝紀》有“怵於邪說”，如淳注：</w:t>
      </w:r>
      <w:r w:rsidRPr="002A36C3">
        <w:rPr>
          <w:rStyle w:val="Char"/>
          <w:rFonts w:hint="eastAsia"/>
        </w:rPr>
        <w:t>“怵音怵惕，見誘怵於邪說也。”</w:t>
      </w:r>
      <w:r w:rsidRPr="00755810">
        <w:rPr>
          <w:rFonts w:hint="eastAsia"/>
        </w:rPr>
        <w:t>顏師古注：</w:t>
      </w:r>
      <w:r w:rsidRPr="002A36C3">
        <w:rPr>
          <w:rStyle w:val="Char"/>
          <w:rFonts w:hint="eastAsia"/>
        </w:rPr>
        <w:t>“如說云見誘怵，其義是也，而音怵惕，又非也。怵或體訹字耳。訹者，誘也，音如戌亥之戌。《南越傳》曰‘不可怵好語入朝’。諸如此例，音義同耳。”</w:t>
      </w:r>
      <w:r w:rsidRPr="00755810">
        <w:endnoteReference w:id="29"/>
      </w:r>
      <w:r w:rsidRPr="00755810">
        <w:rPr>
          <w:rFonts w:hint="eastAsia"/>
        </w:rPr>
        <w:t>《資治通鑑·漢紀九》作</w:t>
      </w:r>
      <w:r w:rsidRPr="002A36C3">
        <w:rPr>
          <w:rStyle w:val="Char"/>
          <w:rFonts w:hint="eastAsia"/>
        </w:rPr>
        <w:t>“不可以說好語入見</w:t>
      </w:r>
      <w:r w:rsidRPr="002A36C3">
        <w:rPr>
          <w:rStyle w:val="Char"/>
        </w:rPr>
        <w:t>”</w:t>
      </w:r>
      <w:r w:rsidRPr="002A36C3">
        <w:rPr>
          <w:rStyle w:val="Char"/>
          <w:rFonts w:hint="eastAsia"/>
        </w:rPr>
        <w:t>，胡三省注：</w:t>
      </w:r>
      <w:r w:rsidRPr="002A36C3">
        <w:rPr>
          <w:rStyle w:val="Char"/>
        </w:rPr>
        <w:t>“</w:t>
      </w:r>
      <w:r w:rsidRPr="002A36C3">
        <w:rPr>
          <w:rStyle w:val="Char"/>
          <w:rFonts w:hint="eastAsia"/>
        </w:rPr>
        <w:t>言不可喜漢使好語而入朝也。說，讀曰悅。</w:t>
      </w:r>
      <w:r w:rsidRPr="002A36C3">
        <w:rPr>
          <w:rStyle w:val="Char"/>
        </w:rPr>
        <w:t>”</w:t>
      </w:r>
      <w:r w:rsidRPr="00755810">
        <w:endnoteReference w:id="30"/>
      </w:r>
      <w:r w:rsidRPr="00755810">
        <w:rPr>
          <w:rFonts w:hint="eastAsia"/>
        </w:rPr>
        <w:t xml:space="preserve"> 王念孫認爲，《武帝紀》“怵於邪說”之“怵”是“忕”字之誤，“忕”訓爲“習”，但《南粵傳》的“怵”是訓爲“誘”的</w:t>
      </w:r>
      <w:r w:rsidRPr="00755810">
        <w:endnoteReference w:id="31"/>
      </w:r>
      <w:r w:rsidRPr="00755810">
        <w:rPr>
          <w:rFonts w:hint="eastAsia"/>
        </w:rPr>
        <w:t>。</w:t>
      </w:r>
    </w:p>
    <w:p w:rsidR="002A36C3" w:rsidRPr="00755810" w:rsidRDefault="002A36C3" w:rsidP="002A36C3">
      <w:pPr>
        <w:pStyle w:val="aa"/>
        <w:ind w:firstLine="560"/>
      </w:pPr>
      <w:r w:rsidRPr="00755810">
        <w:rPr>
          <w:rFonts w:hint="eastAsia"/>
        </w:rPr>
        <w:t>今按：《漢書·南粵傳》的“怵”當從顏師古讀爲先聿反，即“訹”字，訓爲“誘”；《史記》“說”可讀爲“悅”，亦可讀爲勸說字。“怵”與“說（悅）”之間也並非</w:t>
      </w:r>
      <w:r w:rsidRPr="00755810">
        <w:t>音近通假</w:t>
      </w:r>
      <w:r w:rsidRPr="00755810">
        <w:rPr>
          <w:rFonts w:hint="eastAsia"/>
        </w:rPr>
        <w:t>，而是通過“訹”產生了意義關聯。“訹”爲“术”聲，與同爲“术”聲的“怵”“術”“述”等關係密切。</w:t>
      </w:r>
    </w:p>
    <w:p w:rsidR="002A36C3" w:rsidRPr="00755810" w:rsidRDefault="002A36C3" w:rsidP="002A36C3">
      <w:pPr>
        <w:pStyle w:val="aa"/>
        <w:ind w:firstLine="560"/>
      </w:pPr>
      <w:r w:rsidRPr="00755810">
        <w:rPr>
          <w:rFonts w:hint="eastAsia"/>
        </w:rPr>
        <w:t>李杏先生在其碩士學位論文中寫道：</w:t>
      </w:r>
    </w:p>
    <w:p w:rsidR="002A36C3" w:rsidRPr="002A36C3" w:rsidRDefault="002A36C3" w:rsidP="002A36C3">
      <w:pPr>
        <w:ind w:firstLineChars="200" w:firstLine="496"/>
        <w:rPr>
          <w:rStyle w:val="Char3"/>
        </w:rPr>
      </w:pPr>
      <w:r w:rsidRPr="002A36C3">
        <w:rPr>
          <w:rStyle w:val="Char"/>
          <w:rFonts w:hint="eastAsia"/>
        </w:rPr>
        <w:t>“怵與訹同源。從‘朮’得聲之字，大都為有所遵循之義，如訹，《說文·言部》：‘誘也。’用語言把道理講清楚，引導別人。有成語‘循循善誘’。術，《說文·行部》：‘邑中道也。’道是供人行走的，有道是讓人沿着道走，</w:t>
      </w:r>
      <w:r w:rsidRPr="002A36C3">
        <w:rPr>
          <w:rStyle w:val="Char"/>
          <w:rFonts w:hint="eastAsia"/>
        </w:rPr>
        <w:lastRenderedPageBreak/>
        <w:t>故有遵循之意。述，《說文·辵部》：‘循也。’循即遵循。……怵，《說文·心部》：‘恐也。’人心生恐，必非常態。㾁，狂走。狂走也是一種病態。人心生恐、狂走，皆因事反其常，不循其理。與循其理正相反相成。師古說‘怵或體訹字耳’不確，當為同源通假。”</w:t>
      </w:r>
      <w:r w:rsidRPr="002A36C3">
        <w:rPr>
          <w:rStyle w:val="Char"/>
        </w:rPr>
        <w:endnoteReference w:id="32"/>
      </w:r>
      <w:r w:rsidRPr="002A36C3">
        <w:rPr>
          <w:rStyle w:val="Char3"/>
          <w:rFonts w:hint="eastAsia"/>
        </w:rPr>
        <w:t>（引者按：上面引文“常態”後、“狂走”前的一個字，原文的“中國知網”CAJ格式電子文檔作“□”，當是電子文檔製作問題，現據原文意思，以“㾁”字補之。）</w:t>
      </w:r>
    </w:p>
    <w:p w:rsidR="002A36C3" w:rsidRPr="00755810" w:rsidRDefault="002A36C3" w:rsidP="00720454">
      <w:pPr>
        <w:pStyle w:val="aa"/>
        <w:ind w:firstLine="560"/>
      </w:pPr>
      <w:r w:rsidRPr="00755810">
        <w:rPr>
          <w:rFonts w:hint="eastAsia"/>
        </w:rPr>
        <w:t>“怵”與“訹”同源是可信的。但是，上面引文的一些說法，筆者覺得不太妥帖，現按筆者自己的理解表述如下：</w:t>
      </w:r>
    </w:p>
    <w:p w:rsidR="002A36C3" w:rsidRPr="00755810" w:rsidRDefault="002A36C3" w:rsidP="00720454">
      <w:pPr>
        <w:pStyle w:val="aa"/>
        <w:ind w:firstLine="560"/>
      </w:pPr>
      <w:r w:rsidRPr="00755810">
        <w:rPr>
          <w:rFonts w:hint="eastAsia"/>
        </w:rPr>
        <w:t>“術”指“道（路）”；“述”指沿着“道”走，即“循”（徇、巡）</w:t>
      </w:r>
      <w:r w:rsidRPr="00755810">
        <w:endnoteReference w:id="33"/>
      </w:r>
      <w:r w:rsidRPr="00755810">
        <w:rPr>
          <w:rFonts w:hint="eastAsia"/>
        </w:rPr>
        <w:t>；“訹”則是以好“言”引誘他人“述（走）”入自己事先劃定的“術（道）”，“循循善誘”正體現了“循（述）”和“誘（訹）”的關係；而當人們發覺被“訹（騙）”之後，則往往會感到“怵（恐懼、悲傷、警惕）”</w:t>
      </w:r>
      <w:r w:rsidRPr="00755810">
        <w:endnoteReference w:id="34"/>
      </w:r>
      <w:r w:rsidRPr="00755810">
        <w:rPr>
          <w:rFonts w:hint="eastAsia"/>
        </w:rPr>
        <w:t>。這與人們對別人“訴說”或被別人“說服”後，以及對別人“解釋”或得到別人的“解釋”後，往往會感到“悅”“懌”是一個道理</w:t>
      </w:r>
      <w:r w:rsidRPr="00755810">
        <w:t>（見下引段注）</w:t>
      </w:r>
      <w:r w:rsidRPr="00755810">
        <w:rPr>
          <w:rFonts w:hint="eastAsia"/>
        </w:rPr>
        <w:t>。</w:t>
      </w:r>
    </w:p>
    <w:p w:rsidR="002A36C3" w:rsidRPr="00755810" w:rsidRDefault="002A36C3" w:rsidP="00720454">
      <w:pPr>
        <w:pStyle w:val="aa"/>
        <w:ind w:firstLine="560"/>
      </w:pPr>
      <w:r w:rsidRPr="00755810">
        <w:rPr>
          <w:rFonts w:hint="eastAsia"/>
        </w:rPr>
        <w:t>“術”也有欺騙義（例見下文），當是由本義“道路”引申而來，將別人引入設有埋伏的道路，即爲誘騙。“訹”應是承擔這個意義的後起字。當然，實際上誘人的手段不限於言語，誘人進入的也可以是別的圈套。後世俗語有“着道兒”，指中計、上當，“道兒”即“圈套”，《水滸傳》第三十八回：</w:t>
      </w:r>
      <w:r w:rsidRPr="00720454">
        <w:rPr>
          <w:rStyle w:val="Char"/>
          <w:rFonts w:hint="eastAsia"/>
        </w:rPr>
        <w:t>“這黑大漢今番却着道兒，便掙扎得性命，也吃</w:t>
      </w:r>
      <w:r w:rsidRPr="00720454">
        <w:rPr>
          <w:rStyle w:val="Char"/>
          <w:rFonts w:hint="eastAsia"/>
        </w:rPr>
        <w:lastRenderedPageBreak/>
        <w:t>了一肚皮水。”</w:t>
      </w:r>
      <w:r w:rsidRPr="00755810">
        <w:endnoteReference w:id="35"/>
      </w:r>
      <w:r w:rsidRPr="00755810">
        <w:rPr>
          <w:rFonts w:hint="eastAsia"/>
        </w:rPr>
        <w:t xml:space="preserve"> “道兒”的這個意義，應與“術”的欺騙義有類似的來源。</w:t>
      </w:r>
      <w:r w:rsidRPr="00755810">
        <w:t xml:space="preserve"> </w:t>
      </w:r>
    </w:p>
    <w:p w:rsidR="002A36C3" w:rsidRPr="00755810" w:rsidRDefault="002A36C3" w:rsidP="00720454">
      <w:pPr>
        <w:pStyle w:val="aa"/>
        <w:ind w:firstLine="560"/>
      </w:pPr>
      <w:r w:rsidRPr="00755810">
        <w:rPr>
          <w:rFonts w:hint="eastAsia"/>
        </w:rPr>
        <w:t>《廣韻·祭韻》：</w:t>
      </w:r>
      <w:r w:rsidRPr="00720454">
        <w:rPr>
          <w:rStyle w:val="Char"/>
          <w:rFonts w:hint="eastAsia"/>
        </w:rPr>
        <w:t>“說，說誘。”</w:t>
      </w:r>
      <w:r w:rsidRPr="00755810">
        <w:rPr>
          <w:rFonts w:hint="eastAsia"/>
        </w:rPr>
        <w:t>“怵（訹）”訓爲“誘”，與“說”在欺騙義上爲同義詞，則“怵（訹）”自然與“悅”也有間接聯繫。“不可以說好語入見”，《史記》作“說”，可以理解爲“不能被人以好話說服而入見”；《漢書》作“怵（訹）”，可以理解爲“不能被人以好話誘騙而入見”；如將“說”讀爲“悅”，則可以理解爲“不能被人以好話說得高興而入見（或不能因爲喜歡好話而入見）”。都是“不能被人以好話打動而入見”之意。</w:t>
      </w:r>
    </w:p>
    <w:p w:rsidR="002A36C3" w:rsidRPr="00755810" w:rsidRDefault="002A36C3" w:rsidP="00720454">
      <w:pPr>
        <w:pStyle w:val="aa"/>
        <w:ind w:firstLine="560"/>
      </w:pPr>
      <w:r w:rsidRPr="00755810">
        <w:rPr>
          <w:rFonts w:hint="eastAsia"/>
        </w:rPr>
        <w:t>“怵”按本字無解，因爲“怵”是發覺被“訹”之後的感受，而“悅”則是已被“說”服而尚未發覺被“誘”之前的感受。“怵”讀爲“訹”纔能與“說（悅）”產生直接聯繫。從中也可以看出，傳抄者在用字時不一定會考慮旁人是否易於理解，“怵”按本字取恐懼義，與文意不符。“怵”與“訹”均爲“术”聲，“怵”透紐物部，“訹”心紐物部</w:t>
      </w:r>
      <w:r w:rsidRPr="00755810">
        <w:endnoteReference w:id="36"/>
      </w:r>
      <w:r w:rsidRPr="00755810">
        <w:rPr>
          <w:rFonts w:hint="eastAsia"/>
        </w:rPr>
        <w:t>，聲母鄰紐、韻母疊韻，理論上可通。不論說兩者是同源還是</w:t>
      </w:r>
      <w:r w:rsidRPr="00755810">
        <w:t>音近通假</w:t>
      </w:r>
      <w:r w:rsidRPr="00755810">
        <w:rPr>
          <w:rFonts w:hint="eastAsia"/>
        </w:rPr>
        <w:t>，都需要這一點的支持。</w:t>
      </w:r>
    </w:p>
    <w:p w:rsidR="002A36C3" w:rsidRPr="00755810" w:rsidRDefault="002A36C3" w:rsidP="00720454">
      <w:pPr>
        <w:pStyle w:val="aa"/>
        <w:ind w:firstLine="560"/>
      </w:pPr>
      <w:r w:rsidRPr="00755810">
        <w:rPr>
          <w:rFonts w:hint="eastAsia"/>
        </w:rPr>
        <w:t>筆者認爲，這樣講就把“術”“述”“訹”“怵”“說”“悅”“道”“循（徇、巡）”“誘”這些字（詞）串聯起來了。不但“術”與“述”、</w:t>
      </w:r>
      <w:r w:rsidRPr="00755810">
        <w:rPr>
          <w:rFonts w:hint="eastAsia"/>
        </w:rPr>
        <w:lastRenderedPageBreak/>
        <w:t>“怵”與“訹”各自是同源字（詞），就是這四個字（詞）之間也應是同源的。</w:t>
      </w:r>
    </w:p>
    <w:p w:rsidR="002A36C3" w:rsidRPr="00755810" w:rsidRDefault="002A36C3" w:rsidP="00720454">
      <w:pPr>
        <w:pStyle w:val="aa"/>
        <w:ind w:firstLine="560"/>
      </w:pPr>
      <w:r w:rsidRPr="00755810">
        <w:rPr>
          <w:rFonts w:hint="eastAsia"/>
        </w:rPr>
        <w:t>總之，意義關聯纔是“說”可寫作“怵”的主要原因。作“說”與作“怵”不論孰先，從作者或傳抄者的角度看，異文的形成都分爲兩步。若作“怵”在先，則第一步是在文字上將“怵”讀爲（還原爲）同源字“訹”，第二步是在語言上將“訹”替換爲同義詞“說”。若作“說”在先，則第一步是在語言上將“說”替換爲同義詞“訹”，第二步是在文字上將“訹”寫爲同源字“怵”（如果不是同源字，則是</w:t>
      </w:r>
      <w:r w:rsidRPr="00755810">
        <w:t>音近通假字</w:t>
      </w:r>
      <w:r w:rsidRPr="00755810">
        <w:rPr>
          <w:rFonts w:hint="eastAsia"/>
        </w:rPr>
        <w:t>）。</w:t>
      </w:r>
    </w:p>
    <w:p w:rsidR="002A36C3" w:rsidRPr="00755810" w:rsidRDefault="002A36C3" w:rsidP="00720454">
      <w:pPr>
        <w:pStyle w:val="aa"/>
        <w:ind w:firstLine="560"/>
      </w:pPr>
      <w:r w:rsidRPr="00755810">
        <w:rPr>
          <w:rFonts w:hint="eastAsia"/>
        </w:rPr>
        <w:t>顯然，《史記》的“說”比《漢書》的“怵”容易理解，“說”作勸說義和喜悅義均極爲常見。眾所周知，《史記》有改字，也即用易懂的字替換史料原字的習慣，《漢書》則好用古字</w:t>
      </w:r>
      <w:r w:rsidRPr="00755810">
        <w:endnoteReference w:id="37"/>
      </w:r>
      <w:r w:rsidRPr="00755810">
        <w:rPr>
          <w:rFonts w:hint="eastAsia"/>
        </w:rPr>
        <w:t>。不論是司馬遷把其他材料的“怵”改成了“說”而班固未改，還是班固把司馬遷寫的“說”改成了“怵”，這兩部名著的語言差異，於此可見一斑。</w:t>
      </w:r>
    </w:p>
    <w:p w:rsidR="002A36C3" w:rsidRPr="00755810" w:rsidRDefault="002A36C3" w:rsidP="00720454">
      <w:pPr>
        <w:pStyle w:val="aa"/>
        <w:ind w:firstLine="560"/>
      </w:pPr>
      <w:r w:rsidRPr="00755810">
        <w:rPr>
          <w:rFonts w:hint="eastAsia"/>
        </w:rPr>
        <w:t>“說”餘紐月部或書紐月部，“怵”透紐物部，聲母準旁紐、韻母旁轉，衹是比較接近，僅僅從讀音角度解釋異文，是片面的。此類現象又如“述”與“循”。《論語》“述而不作”《墨子•非儒下》作“循而不作”。“述”船紐物部，“循”邪紐文部，聲母鄰紐，韻母對轉；但顯</w:t>
      </w:r>
      <w:r w:rsidRPr="00755810">
        <w:rPr>
          <w:rFonts w:hint="eastAsia"/>
        </w:rPr>
        <w:lastRenderedPageBreak/>
        <w:t>然也非音近通假，而一樣是同義詞替換，《說文》：“述，循也。”</w:t>
      </w:r>
    </w:p>
    <w:p w:rsidR="002A36C3" w:rsidRPr="00755810" w:rsidRDefault="002A36C3" w:rsidP="00755810"/>
    <w:p w:rsidR="002A36C3" w:rsidRPr="00720454" w:rsidRDefault="002A36C3" w:rsidP="00720454">
      <w:pPr>
        <w:pStyle w:val="aa"/>
        <w:ind w:firstLine="643"/>
        <w:rPr>
          <w:b/>
          <w:sz w:val="32"/>
          <w:szCs w:val="32"/>
        </w:rPr>
      </w:pPr>
      <w:r w:rsidRPr="00720454">
        <w:rPr>
          <w:rFonts w:hint="eastAsia"/>
          <w:b/>
          <w:sz w:val="32"/>
          <w:szCs w:val="32"/>
        </w:rPr>
        <w:t>三、“說”與“術”在述說義和欺騙義上是同義詞</w:t>
      </w:r>
    </w:p>
    <w:p w:rsidR="002A36C3" w:rsidRPr="00755810" w:rsidRDefault="002A36C3" w:rsidP="00755810"/>
    <w:p w:rsidR="002A36C3" w:rsidRPr="00755810" w:rsidRDefault="002A36C3" w:rsidP="00720454">
      <w:pPr>
        <w:pStyle w:val="aa"/>
        <w:ind w:firstLine="560"/>
      </w:pPr>
      <w:r w:rsidRPr="00755810">
        <w:rPr>
          <w:rFonts w:hint="eastAsia"/>
        </w:rPr>
        <w:t>通過“說好語”與“怵好語”這組異文，我們再次注意到了一種容易被當作音近通假的、兩個音近同義詞的替換現象。在此基礎上，我們再來考察“術令”與“說命”的關係。筆者認爲，這兩組異文的性質基本相同。“說”與“術”在述說義和欺騙義上都是同義詞（欺騙義又可反訓爲“信”），兩者可以發生字面上的替換關係。</w:t>
      </w:r>
    </w:p>
    <w:p w:rsidR="002A36C3" w:rsidRPr="00755810" w:rsidRDefault="002A36C3" w:rsidP="00755810"/>
    <w:p w:rsidR="002A36C3" w:rsidRPr="00720454" w:rsidRDefault="002A36C3" w:rsidP="00720454">
      <w:pPr>
        <w:pStyle w:val="aa"/>
        <w:ind w:firstLine="562"/>
        <w:rPr>
          <w:b/>
        </w:rPr>
      </w:pPr>
      <w:r w:rsidRPr="00720454">
        <w:rPr>
          <w:rFonts w:hint="eastAsia"/>
          <w:b/>
        </w:rPr>
        <w:t>1、“術”讀爲“述”而與“說”成爲同義詞</w:t>
      </w:r>
    </w:p>
    <w:p w:rsidR="002A36C3" w:rsidRPr="00755810" w:rsidRDefault="002A36C3" w:rsidP="00755810"/>
    <w:p w:rsidR="002A36C3" w:rsidRPr="00755810" w:rsidRDefault="002A36C3" w:rsidP="00720454">
      <w:pPr>
        <w:pStyle w:val="aa"/>
        <w:ind w:firstLine="560"/>
      </w:pPr>
      <w:r w:rsidRPr="00755810">
        <w:rPr>
          <w:rFonts w:hint="eastAsia"/>
        </w:rPr>
        <w:t>“術”與“說”可通過“術”的同源字“述”產生聯繫。“同源字”有多種定義，有傳統語言文字學上的，也有古文字學上的。但是，不論按哪種定義，“術”與“述”都是同源字，它們所代表的詞也都是同源詞。本文將根據不同的語境來採用不同的稱呼。</w:t>
      </w:r>
    </w:p>
    <w:p w:rsidR="002A36C3" w:rsidRPr="00755810" w:rsidRDefault="002A36C3" w:rsidP="00720454">
      <w:pPr>
        <w:pStyle w:val="aa"/>
        <w:ind w:firstLine="560"/>
      </w:pPr>
      <w:r w:rsidRPr="00755810">
        <w:rPr>
          <w:rFonts w:hint="eastAsia"/>
        </w:rPr>
        <w:t>“術”與“述”同音，形符“行”和“辵”的形、義也有關聯。《說文》：</w:t>
      </w:r>
      <w:r w:rsidRPr="00720454">
        <w:rPr>
          <w:rStyle w:val="Char"/>
          <w:rFonts w:hint="eastAsia"/>
        </w:rPr>
        <w:t>“術，邑中道也。”“述，循也。”</w:t>
      </w:r>
      <w:r w:rsidRPr="00755810">
        <w:rPr>
          <w:rFonts w:hint="eastAsia"/>
        </w:rPr>
        <w:t>王力先生認爲兩者同源，</w:t>
      </w:r>
      <w:r w:rsidRPr="00720454">
        <w:rPr>
          <w:rStyle w:val="Char"/>
          <w:rFonts w:hint="eastAsia"/>
        </w:rPr>
        <w:t>“是名詞和動詞的區別”</w:t>
      </w:r>
      <w:r w:rsidRPr="00755810">
        <w:endnoteReference w:id="38"/>
      </w:r>
      <w:r w:rsidRPr="00755810">
        <w:rPr>
          <w:rFonts w:hint="eastAsia"/>
        </w:rPr>
        <w:t>。兩者互通之例有很多。《墨子·耕柱》：</w:t>
      </w:r>
      <w:r w:rsidRPr="00720454">
        <w:rPr>
          <w:rStyle w:val="Char"/>
          <w:rFonts w:hint="eastAsia"/>
        </w:rPr>
        <w:t>“公孟子曰：‘君子不作，術而已。’”</w:t>
      </w:r>
      <w:r w:rsidRPr="00755810">
        <w:rPr>
          <w:rFonts w:hint="eastAsia"/>
        </w:rPr>
        <w:t>畢沅注</w:t>
      </w:r>
      <w:r w:rsidRPr="00720454">
        <w:rPr>
          <w:rStyle w:val="Char"/>
          <w:rFonts w:hint="eastAsia"/>
        </w:rPr>
        <w:t>：“術，同述。”</w:t>
      </w:r>
      <w:r w:rsidRPr="00755810">
        <w:endnoteReference w:id="39"/>
      </w:r>
      <w:r w:rsidRPr="00755810">
        <w:rPr>
          <w:rFonts w:hint="eastAsia"/>
        </w:rPr>
        <w:t>《漢書·賈</w:t>
      </w:r>
      <w:r w:rsidRPr="00755810">
        <w:rPr>
          <w:rFonts w:hint="eastAsia"/>
        </w:rPr>
        <w:lastRenderedPageBreak/>
        <w:t>山傳》：</w:t>
      </w:r>
      <w:r w:rsidRPr="00720454">
        <w:rPr>
          <w:rStyle w:val="Char"/>
          <w:rFonts w:hint="eastAsia"/>
        </w:rPr>
        <w:t>“今陛下念思祖考，術追厥功。”</w:t>
      </w:r>
      <w:r w:rsidRPr="00755810">
        <w:rPr>
          <w:rFonts w:hint="eastAsia"/>
        </w:rPr>
        <w:t>顏師古注：</w:t>
      </w:r>
      <w:r w:rsidRPr="00720454">
        <w:rPr>
          <w:rStyle w:val="Char"/>
          <w:rFonts w:hint="eastAsia"/>
        </w:rPr>
        <w:t>“術亦作述。”</w:t>
      </w:r>
      <w:r w:rsidRPr="00755810">
        <w:endnoteReference w:id="40"/>
      </w:r>
      <w:r w:rsidRPr="00755810">
        <w:rPr>
          <w:rFonts w:hint="eastAsia"/>
        </w:rPr>
        <w:t xml:space="preserve"> 郭店簡《性自命出》：</w:t>
      </w:r>
      <w:r w:rsidRPr="00720454">
        <w:rPr>
          <w:rStyle w:val="Char"/>
          <w:rFonts w:hint="eastAsia"/>
        </w:rPr>
        <w:t>“心述（術）爲宔（主）。”</w:t>
      </w:r>
      <w:r w:rsidRPr="00755810">
        <w:endnoteReference w:id="41"/>
      </w:r>
      <w:r w:rsidRPr="00755810">
        <w:t xml:space="preserve"> 更多例子可參見上面的三本工具書</w:t>
      </w:r>
      <w:r w:rsidRPr="00755810">
        <w:endnoteReference w:id="42"/>
      </w:r>
      <w:r w:rsidRPr="00755810">
        <w:t>。</w:t>
      </w:r>
    </w:p>
    <w:p w:rsidR="002A36C3" w:rsidRPr="00720454" w:rsidRDefault="002A36C3" w:rsidP="00720454">
      <w:pPr>
        <w:pStyle w:val="aa"/>
        <w:ind w:firstLine="560"/>
      </w:pPr>
      <w:r w:rsidRPr="00720454">
        <w:t>我們將“術”讀爲“述”，</w:t>
      </w:r>
      <w:r w:rsidRPr="00720454">
        <w:rPr>
          <w:rFonts w:hint="eastAsia"/>
        </w:rPr>
        <w:t>再去跟“說（悅）”聯繫，就順暢多了。“述”由“循”義引申出“述說有過的事”之義，遂與“說”成爲同義詞</w:t>
      </w:r>
      <w:r w:rsidRPr="00720454">
        <w:rPr>
          <w:rStyle w:val="90"/>
          <w:rFonts w:ascii="宋体" w:eastAsia="宋体" w:hAnsi="宋体" w:cs="Times New Roman"/>
          <w:sz w:val="28"/>
          <w:szCs w:val="22"/>
        </w:rPr>
        <w:endnoteReference w:id="43"/>
      </w:r>
      <w:r w:rsidRPr="00720454">
        <w:rPr>
          <w:rFonts w:hint="eastAsia"/>
        </w:rPr>
        <w:t>，因而具備了替換的條件。</w:t>
      </w:r>
    </w:p>
    <w:p w:rsidR="002A36C3" w:rsidRPr="00755810" w:rsidRDefault="002A36C3" w:rsidP="00720454">
      <w:pPr>
        <w:pStyle w:val="aa"/>
        <w:ind w:firstLine="560"/>
      </w:pPr>
      <w:r w:rsidRPr="00755810">
        <w:rPr>
          <w:rFonts w:hint="eastAsia"/>
        </w:rPr>
        <w:t>可能有人會問：</w:t>
      </w:r>
      <w:r w:rsidRPr="00720454">
        <w:rPr>
          <w:rStyle w:val="Char"/>
          <w:rFonts w:hint="eastAsia"/>
        </w:rPr>
        <w:t>“《說命》之‘說’是人名，歷來讀餘紐，即喜悅字，又怎會‘同義替換’爲‘述’呢？”</w:t>
      </w:r>
      <w:r w:rsidRPr="00755810">
        <w:rPr>
          <w:rFonts w:hint="eastAsia"/>
        </w:rPr>
        <w:t>簡單地說，就是傳抄者不一定知道“說”是人名，他可能將“說”當成了動詞，並形成了自己的誤解（述說、欺騙或允信），遂以同義詞“術”替換之。這種可能性後文還要詳論。</w:t>
      </w:r>
    </w:p>
    <w:p w:rsidR="002A36C3" w:rsidRPr="00755810" w:rsidRDefault="002A36C3" w:rsidP="00720454">
      <w:pPr>
        <w:pStyle w:val="aa"/>
        <w:ind w:firstLine="560"/>
      </w:pPr>
      <w:r w:rsidRPr="00755810">
        <w:rPr>
          <w:rFonts w:hint="eastAsia"/>
        </w:rPr>
        <w:t>此外，“說”的餘紐和書紐兩種讀法其實是相通的。《說文》：“說，說釋也。”段玉裁注：</w:t>
      </w:r>
      <w:r w:rsidRPr="00720454">
        <w:rPr>
          <w:rStyle w:val="Char"/>
          <w:rFonts w:hint="eastAsia"/>
        </w:rPr>
        <w:t>“說釋即悅懌。說悅釋懌皆古今字，許書無悅懌二字也。說釋者，開解之意，故爲喜悅。《釆部》曰：‘釋，解也。’”</w:t>
      </w:r>
      <w:r w:rsidRPr="00755810">
        <w:endnoteReference w:id="44"/>
      </w:r>
      <w:r w:rsidRPr="00755810">
        <w:rPr>
          <w:rFonts w:hint="eastAsia"/>
        </w:rPr>
        <w:t xml:space="preserve"> 這個解釋是非常合理的。</w:t>
      </w:r>
    </w:p>
    <w:p w:rsidR="002A36C3" w:rsidRPr="00755810" w:rsidRDefault="002A36C3" w:rsidP="00720454">
      <w:pPr>
        <w:pStyle w:val="aa"/>
        <w:ind w:firstLine="560"/>
      </w:pPr>
      <w:r w:rsidRPr="00755810">
        <w:rPr>
          <w:rFonts w:hint="eastAsia"/>
        </w:rPr>
        <w:t>可見，“述”應該是“術”和“說（悅）”之間的一個聯繫紐帶。</w:t>
      </w:r>
    </w:p>
    <w:p w:rsidR="002A36C3" w:rsidRPr="00755810" w:rsidRDefault="002A36C3" w:rsidP="00755810"/>
    <w:p w:rsidR="002A36C3" w:rsidRPr="00720454" w:rsidRDefault="002A36C3" w:rsidP="00720454">
      <w:pPr>
        <w:pStyle w:val="aa"/>
        <w:ind w:firstLine="562"/>
        <w:rPr>
          <w:b/>
        </w:rPr>
      </w:pPr>
      <w:r w:rsidRPr="00720454">
        <w:rPr>
          <w:rFonts w:hint="eastAsia"/>
          <w:b/>
        </w:rPr>
        <w:t>2、“術”在欺騙義上與</w:t>
      </w:r>
      <w:r w:rsidRPr="00720454">
        <w:rPr>
          <w:b/>
        </w:rPr>
        <w:t>“說”爲同義詞</w:t>
      </w:r>
    </w:p>
    <w:p w:rsidR="002A36C3" w:rsidRPr="00755810" w:rsidRDefault="002A36C3" w:rsidP="00755810"/>
    <w:p w:rsidR="002A36C3" w:rsidRPr="00720454" w:rsidRDefault="002A36C3" w:rsidP="00720454">
      <w:pPr>
        <w:pStyle w:val="aa"/>
        <w:ind w:firstLine="560"/>
        <w:rPr>
          <w:rStyle w:val="Char"/>
        </w:rPr>
      </w:pPr>
      <w:r w:rsidRPr="00755810">
        <w:rPr>
          <w:rFonts w:hint="eastAsia"/>
        </w:rPr>
        <w:lastRenderedPageBreak/>
        <w:t>“術”有欺騙義。班固《西都賦》曰：</w:t>
      </w:r>
      <w:r w:rsidRPr="00720454">
        <w:rPr>
          <w:rStyle w:val="Char"/>
          <w:rFonts w:hint="eastAsia"/>
        </w:rPr>
        <w:t>“騁文成之丕誕，馳五利之所刑。”李善注：“《漢書》曰：齊人李少翁以方術見上，拜少翁爲文成将軍。”張銑注：“丕，大。誕，猶術也。言馳騁二人之大術法廣爲宫觀，庶使赤松子、王喬遊焉。”</w:t>
      </w:r>
      <w:r w:rsidRPr="00720454">
        <w:rPr>
          <w:rStyle w:val="Char"/>
        </w:rPr>
        <w:endnoteReference w:id="45"/>
      </w:r>
    </w:p>
    <w:p w:rsidR="002A36C3" w:rsidRPr="00755810" w:rsidRDefault="002A36C3" w:rsidP="00720454">
      <w:pPr>
        <w:pStyle w:val="aa"/>
        <w:ind w:firstLine="560"/>
      </w:pPr>
      <w:r w:rsidRPr="00755810">
        <w:rPr>
          <w:rFonts w:hint="eastAsia"/>
        </w:rPr>
        <w:t>今按：“誕”是“延”的孳乳字，《說文》：</w:t>
      </w:r>
      <w:r w:rsidRPr="00720454">
        <w:rPr>
          <w:rStyle w:val="Char"/>
          <w:rFonts w:hint="eastAsia"/>
        </w:rPr>
        <w:t>“延，長行也。”</w:t>
      </w:r>
      <w:r w:rsidRPr="00755810">
        <w:rPr>
          <w:rFonts w:hint="eastAsia"/>
        </w:rPr>
        <w:t>引申爲長，再引申爲大、虛。言延爲“誕”，本義爲說大話。《說文》：</w:t>
      </w:r>
      <w:r w:rsidRPr="00720454">
        <w:rPr>
          <w:rStyle w:val="Char"/>
          <w:rFonts w:hint="eastAsia"/>
        </w:rPr>
        <w:t>“誕，詞誕也。”</w:t>
      </w:r>
      <w:r w:rsidRPr="00755810">
        <w:rPr>
          <w:rFonts w:hint="eastAsia"/>
        </w:rPr>
        <w:t>即言詞誇大虛妄，引申爲欺騙</w:t>
      </w:r>
      <w:r w:rsidRPr="00755810">
        <w:endnoteReference w:id="46"/>
      </w:r>
      <w:r w:rsidRPr="00755810">
        <w:rPr>
          <w:rFonts w:hint="eastAsia"/>
        </w:rPr>
        <w:t>。而“方術”“法術”也有欺騙性，故可曰“誕，猶術也。”這是以同義詞“術”來訓解“誕”（“術”的欺騙義的來源，詳見上文講“术”聲字的部分）。</w:t>
      </w:r>
    </w:p>
    <w:p w:rsidR="002A36C3" w:rsidRPr="00755810" w:rsidRDefault="002A36C3" w:rsidP="00720454">
      <w:pPr>
        <w:pStyle w:val="aa"/>
        <w:ind w:firstLine="560"/>
      </w:pPr>
      <w:r w:rsidRPr="00755810">
        <w:rPr>
          <w:rFonts w:hint="eastAsia"/>
        </w:rPr>
        <w:t>“說”也有欺騙義，《廣韻·祭韻》：“說，說誘。”當是勸說義的引申。所以“術”與“說”爲同義詞，可以替換形成異文。這一點也能從“說好語”與“怵好語”得到印證，“怵”當讀爲“訹”，訓爲“誘”，與“說”也是同義詞。“術”“訹”“怵”有同源關係。</w:t>
      </w:r>
    </w:p>
    <w:p w:rsidR="002A36C3" w:rsidRPr="00755810" w:rsidRDefault="002A36C3" w:rsidP="00720454">
      <w:pPr>
        <w:pStyle w:val="aa"/>
        <w:ind w:firstLine="560"/>
      </w:pPr>
      <w:r w:rsidRPr="00755810">
        <w:rPr>
          <w:rFonts w:hint="eastAsia"/>
        </w:rPr>
        <w:t>同時，“術”的欺騙義可能有“允”的反訓。《說文》：</w:t>
      </w:r>
      <w:r w:rsidRPr="00720454">
        <w:rPr>
          <w:rStyle w:val="Char"/>
          <w:rFonts w:hint="eastAsia"/>
        </w:rPr>
        <w:t>“允，信也。”</w:t>
      </w:r>
      <w:r w:rsidRPr="00755810">
        <w:rPr>
          <w:rFonts w:hint="eastAsia"/>
        </w:rPr>
        <w:t>段玉裁注：</w:t>
      </w:r>
      <w:r w:rsidRPr="00720454">
        <w:rPr>
          <w:rStyle w:val="Char"/>
          <w:rFonts w:hint="eastAsia"/>
        </w:rPr>
        <w:t>“《釋詁》《毛傳》皆曰：‘允，信也。’《詩》‘仲允’，《漢表》作‘中術’。”</w:t>
      </w:r>
      <w:r w:rsidRPr="00755810">
        <w:endnoteReference w:id="47"/>
      </w:r>
      <w:r w:rsidRPr="00755810">
        <w:rPr>
          <w:rFonts w:hint="eastAsia"/>
        </w:rPr>
        <w:t>“中術”與“仲允”爲異文，“中”與“仲”同義，則“術”也應與“允”同義。“誕”也有此反訓，《廣雅·釋詁一》：“誕，信也。”按：這裡借用“反訓”一詞，衹是爲了行文方便。</w:t>
      </w:r>
    </w:p>
    <w:p w:rsidR="002A36C3" w:rsidRPr="00755810" w:rsidRDefault="002A36C3" w:rsidP="00720454">
      <w:pPr>
        <w:pStyle w:val="aa"/>
        <w:ind w:firstLine="560"/>
      </w:pPr>
      <w:r w:rsidRPr="00755810">
        <w:rPr>
          <w:rFonts w:hint="eastAsia"/>
        </w:rPr>
        <w:lastRenderedPageBreak/>
        <w:t>之所以有此反訓，是因爲“術”和“允”是同一件事的兩個方面，在施“術”者爲“誕（騙）”，在被“誕”者則爲“允”。王寧先生在講“反義同詞”時說：</w:t>
      </w:r>
      <w:r w:rsidRPr="00720454">
        <w:rPr>
          <w:rStyle w:val="Char"/>
          <w:rFonts w:hint="eastAsia"/>
        </w:rPr>
        <w:t>“取與予：這是因一事之兩方而相因。‘賜（錫）’、‘賦’、‘乞’、‘假’、‘沽’等屬此。”</w:t>
      </w:r>
      <w:r w:rsidRPr="00755810">
        <w:endnoteReference w:id="48"/>
      </w:r>
      <w:r w:rsidRPr="00755810">
        <w:rPr>
          <w:rFonts w:hint="eastAsia"/>
        </w:rPr>
        <w:t>“術”“誕”顯然也屬於此類。由此，《術令》的“術”可反訓爲“允”，從而與郭店簡《成之聞之》引《詚命》的“允師濟德”產生聯繫</w:t>
      </w:r>
      <w:r w:rsidRPr="00755810">
        <w:endnoteReference w:id="49"/>
      </w:r>
      <w:r w:rsidRPr="00755810">
        <w:rPr>
          <w:rFonts w:hint="eastAsia"/>
        </w:rPr>
        <w:t>。</w:t>
      </w:r>
    </w:p>
    <w:p w:rsidR="002A36C3" w:rsidRPr="00755810" w:rsidRDefault="002A36C3" w:rsidP="00720454">
      <w:pPr>
        <w:pStyle w:val="aa"/>
        <w:ind w:firstLine="560"/>
      </w:pPr>
      <w:r w:rsidRPr="00755810">
        <w:rPr>
          <w:rFonts w:hint="eastAsia"/>
        </w:rPr>
        <w:t>對於以上兩種可能，筆者認爲“術”讀爲“述”的可能性更大。這是從讀者的角度來看，下面從古文獻傳抄者的角度來看。</w:t>
      </w:r>
    </w:p>
    <w:p w:rsidR="002A36C3" w:rsidRPr="00720454" w:rsidRDefault="002A36C3" w:rsidP="00720454">
      <w:pPr>
        <w:pStyle w:val="aa"/>
        <w:ind w:firstLine="643"/>
        <w:rPr>
          <w:b/>
          <w:sz w:val="32"/>
          <w:szCs w:val="32"/>
        </w:rPr>
      </w:pPr>
    </w:p>
    <w:p w:rsidR="002A36C3" w:rsidRPr="00755810" w:rsidRDefault="002A36C3" w:rsidP="00720454">
      <w:pPr>
        <w:pStyle w:val="aa"/>
        <w:ind w:firstLine="643"/>
      </w:pPr>
      <w:r w:rsidRPr="00720454">
        <w:rPr>
          <w:rFonts w:hint="eastAsia"/>
          <w:b/>
          <w:sz w:val="32"/>
          <w:szCs w:val="32"/>
        </w:rPr>
        <w:t>四、異文緣於傳抄者不知“說”是人名而將其誤讀爲動詞</w:t>
      </w:r>
    </w:p>
    <w:p w:rsidR="002A36C3" w:rsidRPr="00755810" w:rsidRDefault="002A36C3" w:rsidP="00755810">
      <w:r w:rsidRPr="00755810">
        <w:rPr>
          <w:rFonts w:hint="eastAsia"/>
        </w:rPr>
        <w:t xml:space="preserve">    </w:t>
      </w:r>
    </w:p>
    <w:p w:rsidR="002A36C3" w:rsidRPr="00720454" w:rsidRDefault="002A36C3" w:rsidP="00720454">
      <w:pPr>
        <w:pStyle w:val="aa"/>
        <w:ind w:firstLine="562"/>
        <w:rPr>
          <w:b/>
        </w:rPr>
      </w:pPr>
      <w:r w:rsidRPr="00720454">
        <w:rPr>
          <w:rFonts w:hint="eastAsia"/>
          <w:b/>
        </w:rPr>
        <w:t>1、關於傅說之名的多種寫法</w:t>
      </w:r>
    </w:p>
    <w:p w:rsidR="002A36C3" w:rsidRPr="00755810" w:rsidRDefault="002A36C3" w:rsidP="00755810"/>
    <w:p w:rsidR="002A36C3" w:rsidRPr="00755810" w:rsidRDefault="002A36C3" w:rsidP="00720454">
      <w:pPr>
        <w:pStyle w:val="aa"/>
        <w:ind w:firstLine="560"/>
      </w:pPr>
      <w:r w:rsidRPr="00755810">
        <w:rPr>
          <w:rFonts w:hint="eastAsia"/>
        </w:rPr>
        <w:t>先看何爲傅說之名的本字，其名在文獻裡有不同的寫法：</w:t>
      </w:r>
    </w:p>
    <w:p w:rsidR="002A36C3" w:rsidRPr="00755810" w:rsidRDefault="002A36C3" w:rsidP="00720454">
      <w:pPr>
        <w:pStyle w:val="aa"/>
        <w:ind w:firstLine="560"/>
      </w:pPr>
      <w:r w:rsidRPr="00755810">
        <w:rPr>
          <w:rFonts w:hint="eastAsia"/>
        </w:rPr>
        <w:t>《國語·楚語上》《孟子·告子下》《尚書序·說命》等作“說”；《禮記》的《文王世子》《學記》《緇衣》作“兌”；上博簡《競建内之》作“鳶”</w:t>
      </w:r>
      <w:r w:rsidRPr="00755810">
        <w:endnoteReference w:id="50"/>
      </w:r>
      <w:r w:rsidRPr="00755810">
        <w:rPr>
          <w:rFonts w:hint="eastAsia"/>
        </w:rPr>
        <w:t>；清華簡《傅說之命》作“敓”</w:t>
      </w:r>
      <w:r w:rsidRPr="00755810">
        <w:endnoteReference w:id="51"/>
      </w:r>
      <w:r w:rsidRPr="00755810">
        <w:rPr>
          <w:rFonts w:hint="eastAsia"/>
        </w:rPr>
        <w:t>；清華簡《良臣》作“</w:t>
      </w:r>
      <w:r w:rsidRPr="00755810">
        <w:rPr>
          <w:rFonts w:hint="eastAsia"/>
        </w:rPr>
        <w:drawing>
          <wp:inline distT="0" distB="0" distL="0" distR="0" wp14:anchorId="0BC1B104" wp14:editId="20B08B2C">
            <wp:extent cx="192405" cy="190029"/>
            <wp:effectExtent l="19050" t="0" r="0" b="0"/>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9271" cy="196810"/>
                    </a:xfrm>
                    <a:prstGeom prst="rect">
                      <a:avLst/>
                    </a:prstGeom>
                    <a:noFill/>
                    <a:ln w="9525">
                      <a:noFill/>
                      <a:miter lim="800000"/>
                      <a:headEnd/>
                      <a:tailEnd/>
                    </a:ln>
                  </pic:spPr>
                </pic:pic>
              </a:graphicData>
            </a:graphic>
          </wp:inline>
        </w:drawing>
      </w:r>
      <w:r w:rsidRPr="00755810">
        <w:rPr>
          <w:rFonts w:hint="eastAsia"/>
        </w:rPr>
        <w:t>”</w:t>
      </w:r>
      <w:r w:rsidRPr="00755810">
        <w:endnoteReference w:id="52"/>
      </w:r>
      <w:r w:rsidRPr="00755810">
        <w:rPr>
          <w:rFonts w:hint="eastAsia"/>
        </w:rPr>
        <w:t>。此外郭店簡《成之聞之》有“</w:t>
      </w:r>
      <w:r w:rsidRPr="00755810">
        <w:rPr>
          <w:rFonts w:hint="eastAsia"/>
        </w:rPr>
        <w:drawing>
          <wp:inline distT="0" distB="0" distL="0" distR="0" wp14:anchorId="2FD7CA9C" wp14:editId="0484A249">
            <wp:extent cx="249555" cy="252197"/>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50728" cy="253382"/>
                    </a:xfrm>
                    <a:prstGeom prst="rect">
                      <a:avLst/>
                    </a:prstGeom>
                    <a:noFill/>
                    <a:ln w="9525">
                      <a:noFill/>
                      <a:miter lim="800000"/>
                      <a:headEnd/>
                      <a:tailEnd/>
                    </a:ln>
                  </pic:spPr>
                </pic:pic>
              </a:graphicData>
            </a:graphic>
          </wp:inline>
        </w:drawing>
      </w:r>
      <w:r w:rsidRPr="00755810">
        <w:rPr>
          <w:rFonts w:hint="eastAsia"/>
        </w:rPr>
        <w:t>命”</w:t>
      </w:r>
      <w:r w:rsidRPr="00755810">
        <w:endnoteReference w:id="53"/>
      </w:r>
      <w:r w:rsidRPr="00755810">
        <w:rPr>
          <w:rFonts w:hint="eastAsia"/>
        </w:rPr>
        <w:t>，李學勤先生</w:t>
      </w:r>
      <w:r w:rsidRPr="00755810">
        <w:rPr>
          <w:rFonts w:hint="eastAsia"/>
        </w:rPr>
        <w:lastRenderedPageBreak/>
        <w:t>將“</w:t>
      </w:r>
      <w:r w:rsidRPr="00755810">
        <w:rPr>
          <w:rFonts w:hint="eastAsia"/>
        </w:rPr>
        <w:drawing>
          <wp:inline distT="0" distB="0" distL="0" distR="0" wp14:anchorId="6F52754D" wp14:editId="496B004F">
            <wp:extent cx="249555" cy="252197"/>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50728" cy="253382"/>
                    </a:xfrm>
                    <a:prstGeom prst="rect">
                      <a:avLst/>
                    </a:prstGeom>
                    <a:noFill/>
                    <a:ln w="9525">
                      <a:noFill/>
                      <a:miter lim="800000"/>
                      <a:headEnd/>
                      <a:tailEnd/>
                    </a:ln>
                  </pic:spPr>
                </pic:pic>
              </a:graphicData>
            </a:graphic>
          </wp:inline>
        </w:drawing>
      </w:r>
      <w:r w:rsidRPr="00755810">
        <w:rPr>
          <w:rFonts w:hint="eastAsia"/>
        </w:rPr>
        <w:t>”釋作“詚（誕）”，認爲通“鳶”，</w:t>
      </w:r>
      <w:r w:rsidRPr="00874C87">
        <w:rPr>
          <w:rStyle w:val="Char"/>
          <w:rFonts w:hint="eastAsia"/>
        </w:rPr>
        <w:t>“《詚（誕）命》以音轉即讀爲《說命》”</w:t>
      </w:r>
      <w:r w:rsidRPr="00755810">
        <w:endnoteReference w:id="54"/>
      </w:r>
      <w:r w:rsidRPr="00755810">
        <w:rPr>
          <w:rFonts w:hint="eastAsia"/>
        </w:rPr>
        <w:t>（筆者認爲“詚”亦可讀爲“譠”</w:t>
      </w:r>
      <w:r w:rsidRPr="00755810">
        <w:endnoteReference w:id="55"/>
      </w:r>
      <w:r w:rsidRPr="00755810">
        <w:rPr>
          <w:rFonts w:hint="eastAsia"/>
        </w:rPr>
        <w:t>）；林小安先生认爲武丁卜辭中的“雀”即傅說</w:t>
      </w:r>
      <w:r w:rsidRPr="00755810">
        <w:endnoteReference w:id="56"/>
      </w:r>
      <w:r w:rsidRPr="00755810">
        <w:rPr>
          <w:rFonts w:hint="eastAsia"/>
        </w:rPr>
        <w:t>。</w:t>
      </w:r>
    </w:p>
    <w:p w:rsidR="002A36C3" w:rsidRPr="00755810" w:rsidRDefault="002A36C3" w:rsidP="00874C87">
      <w:pPr>
        <w:pStyle w:val="aa"/>
        <w:ind w:firstLine="560"/>
      </w:pPr>
      <w:r w:rsidRPr="00755810">
        <w:rPr>
          <w:rFonts w:hint="eastAsia"/>
        </w:rPr>
        <w:t>按：郭店簡《窮達以時》亦有傅說事跡，但出現在“卲䌛（繇）”名下</w:t>
      </w:r>
      <w:r w:rsidRPr="00755810">
        <w:endnoteReference w:id="57"/>
      </w:r>
      <w:r w:rsidRPr="00755810">
        <w:rPr>
          <w:rFonts w:hint="eastAsia"/>
        </w:rPr>
        <w:t>，學者對此有不同的解釋。黃德寬、徐在國兩位先生認爲“卲繇”就是“皋陶”</w:t>
      </w:r>
      <w:r w:rsidRPr="00755810">
        <w:endnoteReference w:id="58"/>
      </w:r>
      <w:r w:rsidRPr="00755810">
        <w:rPr>
          <w:rFonts w:hint="eastAsia"/>
        </w:rPr>
        <w:t>，魏宜輝、周言兩位先生認爲此篇有脫簡</w:t>
      </w:r>
      <w:r w:rsidRPr="00755810">
        <w:endnoteReference w:id="59"/>
      </w:r>
      <w:r w:rsidRPr="00755810">
        <w:rPr>
          <w:rFonts w:hint="eastAsia"/>
        </w:rPr>
        <w:t>，這些解釋是合理的。</w:t>
      </w:r>
    </w:p>
    <w:p w:rsidR="002A36C3" w:rsidRPr="00755810" w:rsidRDefault="002A36C3" w:rsidP="00874C87">
      <w:pPr>
        <w:pStyle w:val="aa"/>
        <w:ind w:firstLine="560"/>
      </w:pPr>
      <w:r w:rsidRPr="00755810">
        <w:rPr>
          <w:rFonts w:hint="eastAsia"/>
        </w:rPr>
        <w:t>如此，則傅說之“說”的異文，其已知且有直接證據者，有四種：“說（悅）”“鳶”“敓”“</w:t>
      </w:r>
      <w:r w:rsidRPr="00755810">
        <w:rPr>
          <w:rFonts w:hint="eastAsia"/>
        </w:rPr>
        <w:drawing>
          <wp:inline distT="0" distB="0" distL="0" distR="0" wp14:anchorId="28F7C1EC" wp14:editId="43D751CD">
            <wp:extent cx="192405" cy="190029"/>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9271" cy="196810"/>
                    </a:xfrm>
                    <a:prstGeom prst="rect">
                      <a:avLst/>
                    </a:prstGeom>
                    <a:noFill/>
                    <a:ln w="9525">
                      <a:noFill/>
                      <a:miter lim="800000"/>
                      <a:headEnd/>
                      <a:tailEnd/>
                    </a:ln>
                  </pic:spPr>
                </pic:pic>
              </a:graphicData>
            </a:graphic>
          </wp:inline>
        </w:drawing>
      </w:r>
      <w:r w:rsidRPr="00755810">
        <w:rPr>
          <w:rFonts w:hint="eastAsia"/>
        </w:rPr>
        <w:t>”，算上“雀”則有五種。《說命》之“說”的異文有三種：“說（悅）”“兌”“術（述）”，算上“詚（譠、誕）”則有四種。</w:t>
      </w:r>
    </w:p>
    <w:p w:rsidR="002A36C3" w:rsidRPr="00755810" w:rsidRDefault="002A36C3" w:rsidP="00874C87">
      <w:pPr>
        <w:pStyle w:val="aa"/>
        <w:ind w:firstLine="560"/>
      </w:pPr>
      <w:r w:rsidRPr="00755810">
        <w:rPr>
          <w:rFonts w:hint="eastAsia"/>
        </w:rPr>
        <w:t>對於《尚書》“傅說”之“說”，孔穎達曰：</w:t>
      </w:r>
      <w:r w:rsidRPr="00874C87">
        <w:rPr>
          <w:rStyle w:val="Char"/>
          <w:rFonts w:hint="eastAsia"/>
        </w:rPr>
        <w:t>“說者，懽悅也。”</w:t>
      </w:r>
      <w:r w:rsidRPr="00755810">
        <w:endnoteReference w:id="60"/>
      </w:r>
      <w:r w:rsidRPr="00755810">
        <w:rPr>
          <w:rFonts w:hint="eastAsia"/>
        </w:rPr>
        <w:t xml:space="preserve"> 清華簡《傅說之命》和《良臣》發表後，由於前者稱傅說有“鵑肩”，後者傅說之名寫作“</w:t>
      </w:r>
      <w:r w:rsidRPr="00755810">
        <w:rPr>
          <w:rFonts w:hint="eastAsia"/>
        </w:rPr>
        <w:drawing>
          <wp:inline distT="0" distB="0" distL="0" distR="0" wp14:anchorId="366A01DC" wp14:editId="1BD62D57">
            <wp:extent cx="192405" cy="190029"/>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9271" cy="196810"/>
                    </a:xfrm>
                    <a:prstGeom prst="rect">
                      <a:avLst/>
                    </a:prstGeom>
                    <a:noFill/>
                    <a:ln w="9525">
                      <a:noFill/>
                      <a:miter lim="800000"/>
                      <a:headEnd/>
                      <a:tailEnd/>
                    </a:ln>
                  </pic:spPr>
                </pic:pic>
              </a:graphicData>
            </a:graphic>
          </wp:inline>
        </w:drawing>
      </w:r>
      <w:r w:rsidRPr="00755810">
        <w:rPr>
          <w:rFonts w:hint="eastAsia"/>
        </w:rPr>
        <w:t>”，學者們自然就將“鵑”“</w:t>
      </w:r>
      <w:r w:rsidRPr="00755810">
        <w:rPr>
          <w:rFonts w:hint="eastAsia"/>
        </w:rPr>
        <w:drawing>
          <wp:inline distT="0" distB="0" distL="0" distR="0" wp14:anchorId="029622F9" wp14:editId="54C85F0E">
            <wp:extent cx="192405" cy="190029"/>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9271" cy="196810"/>
                    </a:xfrm>
                    <a:prstGeom prst="rect">
                      <a:avLst/>
                    </a:prstGeom>
                    <a:noFill/>
                    <a:ln w="9525">
                      <a:noFill/>
                      <a:miter lim="800000"/>
                      <a:headEnd/>
                      <a:tailEnd/>
                    </a:ln>
                  </pic:spPr>
                </pic:pic>
              </a:graphicData>
            </a:graphic>
          </wp:inline>
        </w:drawing>
      </w:r>
      <w:r w:rsidRPr="00755810">
        <w:rPr>
          <w:rFonts w:hint="eastAsia"/>
        </w:rPr>
        <w:t>”以及上博簡《競建内之》的“鳶”這一組與“鳥”有關的字聯繫了起來。</w:t>
      </w:r>
    </w:p>
    <w:p w:rsidR="002A36C3" w:rsidRPr="00755810" w:rsidRDefault="002A36C3" w:rsidP="00874C87">
      <w:pPr>
        <w:pStyle w:val="aa"/>
        <w:ind w:firstLine="560"/>
      </w:pPr>
      <w:r w:rsidRPr="00755810">
        <w:rPr>
          <w:rFonts w:hint="eastAsia"/>
        </w:rPr>
        <w:t>胡敕瑞先生將“鵑肩”讀爲“鳶肩”，認爲</w:t>
      </w:r>
      <w:r w:rsidRPr="00874C87">
        <w:rPr>
          <w:rStyle w:val="Char"/>
          <w:rFonts w:hint="eastAsia"/>
        </w:rPr>
        <w:t>“古籍中用‘鳶肩’來形容人的狀貌並不少見”</w:t>
      </w:r>
      <w:r w:rsidRPr="00755810">
        <w:endnoteReference w:id="61"/>
      </w:r>
      <w:r w:rsidRPr="00755810">
        <w:rPr>
          <w:rFonts w:hint="eastAsia"/>
        </w:rPr>
        <w:t>。虞萬里先生對“鵑”“鳶”以及“鳶肩”作了詳細的梳理、考證和解釋</w:t>
      </w:r>
      <w:r w:rsidRPr="00755810">
        <w:endnoteReference w:id="62"/>
      </w:r>
      <w:r w:rsidRPr="00755810">
        <w:rPr>
          <w:rFonts w:hint="eastAsia"/>
        </w:rPr>
        <w:t>。王輝先生認爲：</w:t>
      </w:r>
      <w:r w:rsidRPr="00874C87">
        <w:rPr>
          <w:rStyle w:val="Char"/>
          <w:rFonts w:hint="eastAsia"/>
        </w:rPr>
        <w:t>“（傅說）其名確與鳥類</w:t>
      </w:r>
      <w:r w:rsidRPr="00874C87">
        <w:rPr>
          <w:rStyle w:val="Char"/>
          <w:rFonts w:hint="eastAsia"/>
        </w:rPr>
        <w:lastRenderedPageBreak/>
        <w:t>相關。或用‘說’、‘兌’（《禮記·緇衣》）、‘敓’（《清華（叁）·說命》）者，均爲“鳶”之假借字；並取義於尖銳之‘銳’，也與簡文‘如錐’相合。”</w:t>
      </w:r>
      <w:r w:rsidRPr="00755810">
        <w:endnoteReference w:id="63"/>
      </w:r>
      <w:r w:rsidRPr="00755810">
        <w:rPr>
          <w:rFonts w:hint="eastAsia"/>
        </w:rPr>
        <w:t xml:space="preserve"> 而張卉先生則在前賢的基礎上，進一步論證了“卜辭中的‘雀’當即文獻中的‘傅說’”</w:t>
      </w:r>
      <w:r w:rsidRPr="00755810">
        <w:endnoteReference w:id="64"/>
      </w:r>
      <w:r w:rsidRPr="00755810">
        <w:rPr>
          <w:rFonts w:hint="eastAsia"/>
        </w:rPr>
        <w:t>。</w:t>
      </w:r>
    </w:p>
    <w:p w:rsidR="002A36C3" w:rsidRPr="00755810" w:rsidRDefault="002A36C3" w:rsidP="00874C87">
      <w:pPr>
        <w:pStyle w:val="aa"/>
        <w:ind w:firstLine="560"/>
      </w:pPr>
      <w:r w:rsidRPr="00755810">
        <w:rPr>
          <w:rFonts w:hint="eastAsia"/>
        </w:rPr>
        <w:t>今按：卜辭未見“說（悅）”“敓”“</w:t>
      </w:r>
      <w:r w:rsidRPr="00755810">
        <w:rPr>
          <w:rFonts w:hint="eastAsia"/>
        </w:rPr>
        <w:drawing>
          <wp:inline distT="0" distB="0" distL="0" distR="0" wp14:anchorId="25F3898F" wp14:editId="0AF10BE5">
            <wp:extent cx="192405" cy="190029"/>
            <wp:effectExtent l="1905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9271" cy="196810"/>
                    </a:xfrm>
                    <a:prstGeom prst="rect">
                      <a:avLst/>
                    </a:prstGeom>
                    <a:noFill/>
                    <a:ln w="9525">
                      <a:noFill/>
                      <a:miter lim="800000"/>
                      <a:headEnd/>
                      <a:tailEnd/>
                    </a:ln>
                  </pic:spPr>
                </pic:pic>
              </a:graphicData>
            </a:graphic>
          </wp:inline>
        </w:drawing>
      </w:r>
      <w:r w:rsidRPr="00755810">
        <w:rPr>
          <w:rFonts w:hint="eastAsia"/>
        </w:rPr>
        <w:t>”“銳”等，而衹有“兌”，皆用作“銳”，爲“疾速”之義</w:t>
      </w:r>
      <w:r w:rsidRPr="00755810">
        <w:endnoteReference w:id="65"/>
      </w:r>
      <w:r w:rsidRPr="00755810">
        <w:rPr>
          <w:rFonts w:hint="eastAsia"/>
        </w:rPr>
        <w:t>。“疾速”和“尖銳”可以有引申關係，後世稱武器銳利爲“快”，亦同此理。</w:t>
      </w:r>
    </w:p>
    <w:p w:rsidR="002A36C3" w:rsidRPr="00755810" w:rsidRDefault="002A36C3" w:rsidP="00874C87">
      <w:pPr>
        <w:pStyle w:val="aa"/>
        <w:ind w:firstLine="560"/>
      </w:pPr>
      <w:r w:rsidRPr="00755810">
        <w:rPr>
          <w:rFonts w:hint="eastAsia"/>
        </w:rPr>
        <w:t>筆者認爲，將“鵑肩”讀爲“鳶肩”，當作《競建内之》裡傅說之名“鳶”的來源，是可信的。但是由於資料匱乏，何爲本字目前還無法定讞。因爲“鳶”“鵑肩”都是戰國的材料，固然有重大價值，然而離商代尚遠，商代是否有“鵑肩”之稱，傅說是否名“鳶”，實在難以確定。以“雀”爲傅說，也衹是一種有一定根據的可能，同樣不能視爲定論。我們無法完全排除這種可能：傅說其名另有本字，“鳶”則是別人根據其生理特征而起的綽號。不過，傅說本人未必真有“鳶肩”，“鳶”也未必是當時就有的綽號，正如古書五花八门的人物奇特相貌，未必都是真實記錄。</w:t>
      </w:r>
    </w:p>
    <w:p w:rsidR="002A36C3" w:rsidRPr="00755810" w:rsidRDefault="002A36C3" w:rsidP="00874C87">
      <w:pPr>
        <w:pStyle w:val="aa"/>
        <w:ind w:firstLine="560"/>
      </w:pPr>
    </w:p>
    <w:p w:rsidR="002A36C3" w:rsidRPr="00874C87" w:rsidRDefault="002A36C3" w:rsidP="00874C87">
      <w:pPr>
        <w:pStyle w:val="aa"/>
        <w:ind w:firstLine="562"/>
        <w:rPr>
          <w:b/>
        </w:rPr>
      </w:pPr>
      <w:r w:rsidRPr="00874C87">
        <w:rPr>
          <w:rFonts w:hint="eastAsia"/>
          <w:b/>
        </w:rPr>
        <w:t>2、“說”寫作“術”與傅說之名的本字及其本義無關</w:t>
      </w:r>
    </w:p>
    <w:p w:rsidR="002A36C3" w:rsidRPr="00755810" w:rsidRDefault="002A36C3" w:rsidP="00755810"/>
    <w:p w:rsidR="002A36C3" w:rsidRPr="00755810" w:rsidRDefault="002A36C3" w:rsidP="00874C87">
      <w:pPr>
        <w:pStyle w:val="aa"/>
        <w:ind w:firstLine="560"/>
      </w:pPr>
      <w:r w:rsidRPr="00755810">
        <w:rPr>
          <w:rFonts w:hint="eastAsia"/>
        </w:rPr>
        <w:lastRenderedPageBreak/>
        <w:t>“說”既然是人名，且本字、本義尚不可知，又怎麼會“同義替換”爲“述”呢？其實，這個問題是可以解釋的。</w:t>
      </w:r>
    </w:p>
    <w:p w:rsidR="002A36C3" w:rsidRPr="00755810" w:rsidRDefault="002A36C3" w:rsidP="00874C87">
      <w:pPr>
        <w:pStyle w:val="aa"/>
        <w:ind w:firstLine="560"/>
      </w:pPr>
      <w:r w:rsidRPr="00755810">
        <w:rPr>
          <w:rFonts w:hint="eastAsia"/>
        </w:rPr>
        <w:t>我們今天見到的古文獻，絕大部分應該出自傳抄者之手。傳抄者不一定是學問家，不一定對文獻有深入的研究。他們往往會抄錯字，甚至根據自己的理解改動原文，這毫不奇怪。就算是在今天的條件下，錯誤也經常發生，例如學者筆下的“傅說”屢次被印成了“傳說”。雖然可能是打字員選錯了字，但也可能是某個環節的人員把“傅說”理解爲“傳說”，於是徑改原文。</w:t>
      </w:r>
    </w:p>
    <w:p w:rsidR="002A36C3" w:rsidRPr="00755810" w:rsidRDefault="002A36C3" w:rsidP="00874C87">
      <w:pPr>
        <w:pStyle w:val="aa"/>
        <w:ind w:firstLine="560"/>
      </w:pPr>
      <w:r w:rsidRPr="00755810">
        <w:rPr>
          <w:rFonts w:hint="eastAsia"/>
        </w:rPr>
        <w:t>不論傅說之名的本字爲何、本義爲何，傳抄者都不一定了解“說命”的意義以及“說”的真實來源和正確讀音。傳抄者有時會用同義詞來替換原文，既然符號上通常可寫作“述說”之“說”，則顯然也可能被改寫爲義同音近的“術（述）”。</w:t>
      </w:r>
      <w:r w:rsidRPr="00755810">
        <w:t>《儀禮·士喪禮》：</w:t>
      </w:r>
      <w:r w:rsidRPr="00874C87">
        <w:rPr>
          <w:rStyle w:val="Char"/>
        </w:rPr>
        <w:t>“</w:t>
      </w:r>
      <w:r w:rsidRPr="00874C87">
        <w:rPr>
          <w:rStyle w:val="Char"/>
          <w:rFonts w:hint="eastAsia"/>
        </w:rPr>
        <w:t>筮人許諾，不述命。</w:t>
      </w:r>
      <w:r w:rsidRPr="00874C87">
        <w:rPr>
          <w:rStyle w:val="Char"/>
        </w:rPr>
        <w:t>”鄭玄注：“述，循也。既受命而申言之曰述。……古文述皆作術。”</w:t>
      </w:r>
      <w:r w:rsidRPr="00755810">
        <w:endnoteReference w:id="66"/>
      </w:r>
      <w:r w:rsidRPr="00755810">
        <w:rPr>
          <w:rFonts w:hint="eastAsia"/>
        </w:rPr>
        <w:t xml:space="preserve"> 這個“述”是動詞，“命”是賓語，古文“述命”作“術命”。因此，傳抄者完全可能將“說命”誤解爲動賓結構的“述命”，進而改寫爲“術令”。</w:t>
      </w:r>
    </w:p>
    <w:p w:rsidR="002A36C3" w:rsidRPr="00755810" w:rsidRDefault="002A36C3" w:rsidP="00874C87">
      <w:pPr>
        <w:pStyle w:val="aa"/>
        <w:ind w:firstLine="560"/>
      </w:pPr>
      <w:r w:rsidRPr="00755810">
        <w:rPr>
          <w:rFonts w:hint="eastAsia"/>
        </w:rPr>
        <w:t>“說”容易被理解爲動詞，加之引用《說命》的文獻往往衹引了幾個字，就更增加了傳抄者弄清意思的難度。至於替換後是否符合原</w:t>
      </w:r>
      <w:r w:rsidRPr="00755810">
        <w:rPr>
          <w:rFonts w:hint="eastAsia"/>
        </w:rPr>
        <w:lastRenderedPageBreak/>
        <w:t>意且易於理解，則未必會考慮。因爲這種替換往往不涉及對文獻的深入研究，而衹是停留在字面上，別人理解起來往往有障礙。例如“怵好語”，若無學者注釋，人們怕是不易理解。其他替換，如同音字替換、形近字替換，道理也一樣。</w:t>
      </w:r>
      <w:r w:rsidRPr="00755810">
        <w:t>鑒於傅說之名從“兌”的更多，我們假設“術令”從“說命”而來，但即使相反，道理也類似。</w:t>
      </w:r>
      <w:r w:rsidRPr="00755810">
        <w:rPr>
          <w:rFonts w:hint="eastAsia"/>
        </w:rPr>
        <w:t>在以上討論的基礎上，筆者推測可能存在以下過程：</w:t>
      </w:r>
    </w:p>
    <w:p w:rsidR="002A36C3" w:rsidRPr="00755810" w:rsidRDefault="002A36C3" w:rsidP="00874C87">
      <w:pPr>
        <w:pStyle w:val="aa"/>
        <w:ind w:firstLine="560"/>
      </w:pPr>
      <w:r w:rsidRPr="00755810">
        <w:rPr>
          <w:rFonts w:hint="eastAsia"/>
        </w:rPr>
        <w:t>傳抄者不知道“說”是人名，而將“說命”誤解爲動賓結構，想用義同音近的“述”和“令”代替，而在書寫中，又使用了“述”的同源字（也是古字）“術”，就成了“術令”。這跟“說好語”與“怵好語”的關係類似，步驟即便相反，道理也是一樣的。從“說”到“術”也分兩步：第一步是在语言上替換爲同義詞，第二步是在文字上寫作同源字，前者是主導。當然，傳抄者頭腦裡不一定有這些明確的概念。此外，如前所言，“說”即便讀爲“悅”，也與“述”相通。這些對傳抄者主觀認識和意圖的推測，當然不能看作事實，但卻是有一定根據的，而非憑空臆測。</w:t>
      </w:r>
    </w:p>
    <w:p w:rsidR="002A36C3" w:rsidRPr="00755810" w:rsidRDefault="002A36C3" w:rsidP="00874C87">
      <w:pPr>
        <w:pStyle w:val="aa"/>
        <w:ind w:firstLine="560"/>
      </w:pPr>
    </w:p>
    <w:p w:rsidR="002A36C3" w:rsidRPr="00874C87" w:rsidRDefault="002A36C3" w:rsidP="00874C87">
      <w:pPr>
        <w:pStyle w:val="aa"/>
        <w:ind w:firstLine="562"/>
        <w:rPr>
          <w:b/>
        </w:rPr>
      </w:pPr>
      <w:r w:rsidRPr="00874C87">
        <w:rPr>
          <w:rFonts w:hint="eastAsia"/>
          <w:b/>
        </w:rPr>
        <w:t>3、“說”寫作同義詞“術（述）”不是偶然和無意的</w:t>
      </w:r>
    </w:p>
    <w:p w:rsidR="002A36C3" w:rsidRPr="00755810" w:rsidRDefault="002A36C3" w:rsidP="00755810"/>
    <w:p w:rsidR="002A36C3" w:rsidRPr="00755810" w:rsidRDefault="002A36C3" w:rsidP="00874C87">
      <w:pPr>
        <w:pStyle w:val="aa"/>
        <w:ind w:firstLine="560"/>
      </w:pPr>
      <w:r w:rsidRPr="00755810">
        <w:t>同源字和同源詞以及它們和通假字的關係，是語言學和語文學領</w:t>
      </w:r>
      <w:r w:rsidRPr="00755810">
        <w:lastRenderedPageBreak/>
        <w:t>域極其複雜和重要的問題。王力先生認爲：</w:t>
      </w:r>
      <w:r w:rsidRPr="00874C87">
        <w:rPr>
          <w:rStyle w:val="Char"/>
        </w:rPr>
        <w:t>“凡音義皆近，音近義同，或義近音同的字，叫做同源字。……通假字不是同源字，……同源字，實際上就是同源詞。”</w:t>
      </w:r>
      <w:r w:rsidRPr="00755810">
        <w:endnoteReference w:id="67"/>
      </w:r>
      <w:r w:rsidRPr="00755810">
        <w:rPr>
          <w:rFonts w:hint="eastAsia"/>
        </w:rPr>
        <w:t xml:space="preserve"> </w:t>
      </w:r>
      <w:r w:rsidRPr="00755810">
        <w:t>這個觀點</w:t>
      </w:r>
      <w:r w:rsidRPr="00755810">
        <w:rPr>
          <w:rFonts w:hint="eastAsia"/>
        </w:rPr>
        <w:t>影響很大，但是後來有學者提出不同意見，認爲應該區分同源字和同源詞，同源和通假是不同層面、不同學科的概念，不是互斥的，而是有交叉的。</w:t>
      </w:r>
    </w:p>
    <w:p w:rsidR="002A36C3" w:rsidRPr="00755810" w:rsidRDefault="002A36C3" w:rsidP="00874C87">
      <w:pPr>
        <w:pStyle w:val="aa"/>
        <w:ind w:firstLine="560"/>
      </w:pPr>
      <w:r w:rsidRPr="00755810">
        <w:rPr>
          <w:rFonts w:hint="eastAsia"/>
        </w:rPr>
        <w:t>蔣禮鴻先生認爲：</w:t>
      </w:r>
      <w:r w:rsidRPr="00874C87">
        <w:rPr>
          <w:rStyle w:val="Char"/>
          <w:rFonts w:hint="eastAsia"/>
        </w:rPr>
        <w:t>“王先生所說的同源字既然是表示相近或相關的概念的，已經進入詞的範圍；另一方面，如‘聲近義同’的‘字’究竟是字還是詞這類麻煩問題會因‘字’、‘詞’不分而更容易混淆；我覺得對討論的對象還是賦以‘同源詞’這個定名在理論上比較圓融。”</w:t>
      </w:r>
      <w:r w:rsidRPr="00755810">
        <w:endnoteReference w:id="68"/>
      </w:r>
    </w:p>
    <w:p w:rsidR="002A36C3" w:rsidRPr="00755810" w:rsidRDefault="002A36C3" w:rsidP="00874C87">
      <w:pPr>
        <w:pStyle w:val="aa"/>
        <w:ind w:firstLine="560"/>
      </w:pPr>
      <w:r w:rsidRPr="00755810">
        <w:rPr>
          <w:rFonts w:hint="eastAsia"/>
        </w:rPr>
        <w:t>張覺先生認爲，同源詞不能稱爲同源字，</w:t>
      </w:r>
      <w:r w:rsidRPr="00874C87">
        <w:rPr>
          <w:rStyle w:val="Char"/>
          <w:rFonts w:hint="eastAsia"/>
        </w:rPr>
        <w:t>“通假，是一種用字現象，……是文字學和訓詁學研究的對象。同源（引者按：特指同源詞），則是一種詞彙的孳乳現象，……是詞彙學和語源學的研究對象，……”</w:t>
      </w:r>
      <w:r w:rsidRPr="00755810">
        <w:endnoteReference w:id="69"/>
      </w:r>
    </w:p>
    <w:p w:rsidR="002A36C3" w:rsidRPr="00755810" w:rsidRDefault="002A36C3" w:rsidP="00874C87">
      <w:pPr>
        <w:pStyle w:val="aa"/>
        <w:ind w:firstLine="560"/>
      </w:pPr>
      <w:r w:rsidRPr="00755810">
        <w:rPr>
          <w:rFonts w:hint="eastAsia"/>
        </w:rPr>
        <w:t>邵文利先生也對“以字論詞”提出異議，給同源字和同源詞下了不同的定義，並且提到：</w:t>
      </w:r>
      <w:r w:rsidRPr="00874C87">
        <w:rPr>
          <w:rStyle w:val="Char"/>
          <w:rFonts w:hint="eastAsia"/>
        </w:rPr>
        <w:t>“由於選用通假字是衹‘用此字之聲’，那麼凡是與本字音同或音近的字從理論上說皆可入選，這樣就會在無意中選一個與本字同源的字作爲它的通假字。”</w:t>
      </w:r>
      <w:r w:rsidRPr="00755810">
        <w:endnoteReference w:id="70"/>
      </w:r>
    </w:p>
    <w:p w:rsidR="002A36C3" w:rsidRPr="00755810" w:rsidRDefault="002A36C3" w:rsidP="00874C87">
      <w:pPr>
        <w:pStyle w:val="aa"/>
        <w:ind w:firstLine="560"/>
      </w:pPr>
      <w:r w:rsidRPr="00755810">
        <w:rPr>
          <w:rFonts w:hint="eastAsia"/>
        </w:rPr>
        <w:t>王蘊智先生則立足于古文字材料，對同源字和同源詞進行了明確區分，並給出了定義</w:t>
      </w:r>
      <w:r w:rsidRPr="00755810">
        <w:endnoteReference w:id="71"/>
      </w:r>
      <w:r w:rsidRPr="00755810">
        <w:rPr>
          <w:rFonts w:hint="eastAsia"/>
        </w:rPr>
        <w:t>。王先生的同源字定義是從古文字形體出發的，</w:t>
      </w:r>
      <w:r w:rsidRPr="00755810">
        <w:rPr>
          <w:rFonts w:hint="eastAsia"/>
        </w:rPr>
        <w:lastRenderedPageBreak/>
        <w:t>與傳統語言文字學從詞彙孳乳出發的定義不同</w:t>
      </w:r>
      <w:r w:rsidRPr="00755810">
        <w:endnoteReference w:id="72"/>
      </w:r>
      <w:r w:rsidRPr="00755810">
        <w:rPr>
          <w:rFonts w:hint="eastAsia"/>
        </w:rPr>
        <w:t>。筆者認爲，這兩種定義均有價值，可用於不同的場合。</w:t>
      </w:r>
    </w:p>
    <w:p w:rsidR="002A36C3" w:rsidRPr="00755810" w:rsidRDefault="002A36C3" w:rsidP="00874C87">
      <w:pPr>
        <w:pStyle w:val="aa"/>
        <w:ind w:firstLine="560"/>
      </w:pPr>
      <w:r w:rsidRPr="00755810">
        <w:rPr>
          <w:rFonts w:hint="eastAsia"/>
        </w:rPr>
        <w:t>我們注意到，邵文利先生提到一種現象：傳抄者在選擇音近通假字時，往往不會刻意將同源字排除，有時主觀上是音近通假，客觀上卻無意中用了同源字。那麼與之類似，“說”寫作同義詞“術（述）”，是否也是在選擇通假字時，無意中用了同義詞呢？筆者認爲不是。</w:t>
      </w:r>
    </w:p>
    <w:p w:rsidR="002A36C3" w:rsidRPr="00755810" w:rsidRDefault="002A36C3" w:rsidP="00874C87">
      <w:pPr>
        <w:pStyle w:val="aa"/>
        <w:ind w:firstLine="560"/>
      </w:pPr>
      <w:r w:rsidRPr="00755810">
        <w:t>如前所言，將</w:t>
      </w:r>
      <w:r w:rsidRPr="00755810">
        <w:rPr>
          <w:rFonts w:hint="eastAsia"/>
        </w:rPr>
        <w:t>“術”與“說”</w:t>
      </w:r>
      <w:r w:rsidRPr="00755810">
        <w:t>認定爲音近通假證據不足。至於是否無意，</w:t>
      </w:r>
      <w:r w:rsidRPr="00755810">
        <w:rPr>
          <w:rFonts w:hint="eastAsia"/>
        </w:rPr>
        <w:t>從“說”到“術”的第一步是語言上將“說”替換爲同義詞“述”，第二步是文字上將“述”寫作同源字“術”。第一步是重點，它是音、義共同作用，而以同義爲主要因素的結果。即便是讀音完全不同的詞，同義替換也是有的，而“述”與“說”同義非常明確，顯然是有意使用的。至於第二步，倒可能屬於無意中用了同源字。“術”與“述”客觀上雖然是同源字，但在傳抄者主觀上則有兩種可能：1、延續了舊的用字習慣，即“同源通用”；2、臨時借用同音字，主觀上“同音借用”，客觀上無意中用了同源字</w:t>
      </w:r>
      <w:r w:rsidRPr="00755810">
        <w:endnoteReference w:id="73"/>
      </w:r>
      <w:r w:rsidRPr="00755810">
        <w:rPr>
          <w:rFonts w:hint="eastAsia"/>
        </w:rPr>
        <w:t>。</w:t>
      </w:r>
    </w:p>
    <w:p w:rsidR="002A36C3" w:rsidRPr="00755810" w:rsidRDefault="002A36C3" w:rsidP="00755810"/>
    <w:p w:rsidR="002A36C3" w:rsidRPr="00874C87" w:rsidRDefault="002A36C3" w:rsidP="00874C87">
      <w:pPr>
        <w:pStyle w:val="aa"/>
        <w:ind w:firstLine="643"/>
        <w:rPr>
          <w:b/>
          <w:sz w:val="32"/>
          <w:szCs w:val="32"/>
        </w:rPr>
      </w:pPr>
      <w:r w:rsidRPr="00874C87">
        <w:rPr>
          <w:rFonts w:hint="eastAsia"/>
          <w:b/>
          <w:sz w:val="32"/>
          <w:szCs w:val="32"/>
        </w:rPr>
        <w:t>五、《術令》“唯口出好興戎”出現在《大禹謨》裡的原因</w:t>
      </w:r>
    </w:p>
    <w:p w:rsidR="002A36C3" w:rsidRPr="00755810" w:rsidRDefault="002A36C3" w:rsidP="00755810"/>
    <w:p w:rsidR="002A36C3" w:rsidRPr="00755810" w:rsidRDefault="002A36C3" w:rsidP="00874C87">
      <w:pPr>
        <w:pStyle w:val="aa"/>
        <w:ind w:firstLine="560"/>
      </w:pPr>
      <w:r w:rsidRPr="00755810">
        <w:rPr>
          <w:rFonts w:hint="eastAsia"/>
        </w:rPr>
        <w:lastRenderedPageBreak/>
        <w:t>我們現在回到張岩先生的研究上。從以上討論可見，《術令》之所以即是《說命》，除了內容關聯，其語言文字上的依據，關鍵並不在篇名的字音，而在於詞義。這樣的話，張岩先生從讀音的角度質疑此說，也就不能成立了。</w:t>
      </w:r>
    </w:p>
    <w:p w:rsidR="002A36C3" w:rsidRPr="00874C87" w:rsidRDefault="002A36C3" w:rsidP="00874C87">
      <w:pPr>
        <w:pStyle w:val="aa"/>
        <w:ind w:firstLine="560"/>
        <w:rPr>
          <w:rStyle w:val="Char"/>
        </w:rPr>
      </w:pPr>
      <w:r w:rsidRPr="00755810">
        <w:rPr>
          <w:rFonts w:hint="eastAsia"/>
        </w:rPr>
        <w:t>行文至此，可能有人會說：</w:t>
      </w:r>
      <w:r w:rsidRPr="00874C87">
        <w:rPr>
          <w:rStyle w:val="Char"/>
          <w:rFonts w:hint="eastAsia"/>
        </w:rPr>
        <w:t>“《墨子》引用了大量古書，僅《尚同中》就有《呂刑》《術令》《相年》《周頌》，還有《尚同下》的《大誓》等等，均冠以‘先王之書’。《呂刑》《周頌》《大誓》流傳至今，讀者不難推知《術令》亦當爲篇名，且看不出與《大禹謨》有關。後世《大禹謨》的作者（先假設是後人所作）斷不會無視這種提示，而將《術令》文字抄入《大禹謨》，以致給人懷疑的機會。因此，所謂‘後世的作者’是不存在的。不是《大禹謨》抄襲了《術令》，而是兩者本就是一篇。《大禹謨》不是僞書。”</w:t>
      </w:r>
    </w:p>
    <w:p w:rsidR="002A36C3" w:rsidRPr="00755810" w:rsidRDefault="002A36C3" w:rsidP="00874C87">
      <w:pPr>
        <w:pStyle w:val="aa"/>
        <w:ind w:firstLine="560"/>
      </w:pPr>
      <w:r w:rsidRPr="00755810">
        <w:t>我們主張《術令》就是《說命》，不是《大禹謨》，《大禹謨》是僞書，就必須回答這個問題。其實這很好解釋：《古文尚書》的作者雖然博學</w:t>
      </w:r>
      <w:r w:rsidRPr="00755810">
        <w:endnoteReference w:id="74"/>
      </w:r>
      <w:r w:rsidRPr="00755810">
        <w:t>，但也不是神仙，不會做得天衣無縫，他很可能並未把《術令》當作篇名。這一點可以從人們對“</w:t>
      </w:r>
      <w:r w:rsidRPr="00755810">
        <w:rPr>
          <w:rFonts w:hint="eastAsia"/>
        </w:rPr>
        <w:t>距年</w:t>
      </w:r>
      <w:r w:rsidRPr="00755810">
        <w:t>”“豎年”和“相年”的理解中得到印證。</w:t>
      </w:r>
    </w:p>
    <w:p w:rsidR="002A36C3" w:rsidRPr="00874C87" w:rsidRDefault="002A36C3" w:rsidP="00874C87">
      <w:pPr>
        <w:pStyle w:val="aa"/>
        <w:ind w:firstLine="560"/>
        <w:rPr>
          <w:rStyle w:val="Char"/>
        </w:rPr>
      </w:pPr>
      <w:r w:rsidRPr="00755810">
        <w:rPr>
          <w:rFonts w:hint="eastAsia"/>
        </w:rPr>
        <w:t>《墨子·尚賢中》：</w:t>
      </w:r>
      <w:r w:rsidRPr="00874C87">
        <w:rPr>
          <w:rStyle w:val="Char"/>
          <w:rFonts w:hint="eastAsia"/>
        </w:rPr>
        <w:t>“此聖王之道，先王之書《距年》之言也。傳曰：‘求聖君哲人，以裨輔而身。’”</w:t>
      </w:r>
      <w:r w:rsidRPr="00874C87">
        <w:rPr>
          <w:rFonts w:hint="eastAsia"/>
        </w:rPr>
        <w:t>畢沅注</w:t>
      </w:r>
      <w:r w:rsidRPr="00874C87">
        <w:rPr>
          <w:rStyle w:val="Char"/>
          <w:rFonts w:hint="eastAsia"/>
        </w:rPr>
        <w:t>：“‘距年’下篇作‘豎年’，猶</w:t>
      </w:r>
      <w:r w:rsidRPr="00874C87">
        <w:rPr>
          <w:rStyle w:val="Char"/>
          <w:rFonts w:hint="eastAsia"/>
        </w:rPr>
        <w:lastRenderedPageBreak/>
        <w:t>云‘遠年’。”</w:t>
      </w:r>
    </w:p>
    <w:p w:rsidR="002A36C3" w:rsidRPr="00755810" w:rsidRDefault="002A36C3" w:rsidP="00874C87">
      <w:pPr>
        <w:pStyle w:val="aa"/>
        <w:ind w:firstLine="560"/>
      </w:pPr>
      <w:r w:rsidRPr="00755810">
        <w:rPr>
          <w:rFonts w:hint="eastAsia"/>
        </w:rPr>
        <w:t>《墨子·尚賢下》：</w:t>
      </w:r>
      <w:r w:rsidRPr="00874C87">
        <w:rPr>
          <w:rStyle w:val="Char"/>
          <w:rFonts w:hint="eastAsia"/>
        </w:rPr>
        <w:t>“於先王之書《豎年》之言然，曰：‘晞夫聖武知人，以屏輔而身。’”</w:t>
      </w:r>
      <w:r w:rsidRPr="00755810">
        <w:rPr>
          <w:rFonts w:hint="eastAsia"/>
        </w:rPr>
        <w:t>畢沅注：</w:t>
      </w:r>
      <w:r w:rsidRPr="00874C87">
        <w:rPr>
          <w:rStyle w:val="Char"/>
          <w:rFonts w:hint="eastAsia"/>
        </w:rPr>
        <w:t>“（豎）‘距’字假音。”</w:t>
      </w:r>
    </w:p>
    <w:p w:rsidR="002A36C3" w:rsidRPr="00755810" w:rsidRDefault="002A36C3" w:rsidP="00874C87">
      <w:pPr>
        <w:pStyle w:val="aa"/>
        <w:ind w:firstLine="560"/>
      </w:pPr>
      <w:r w:rsidRPr="00755810">
        <w:rPr>
          <w:rFonts w:hint="eastAsia"/>
        </w:rPr>
        <w:t>《墨子·尚同中》：</w:t>
      </w:r>
      <w:r w:rsidRPr="00874C87">
        <w:rPr>
          <w:rStyle w:val="Char"/>
          <w:rFonts w:hint="eastAsia"/>
        </w:rPr>
        <w:t>“是以先王之書《相年》之道曰：‘夫建國設都，乃作后王君公，否用泰也。輕大夫師長，否用佚也。維辯使治天均。’”</w:t>
      </w:r>
      <w:r w:rsidRPr="00755810">
        <w:rPr>
          <w:rFonts w:hint="eastAsia"/>
        </w:rPr>
        <w:t>畢沅注：</w:t>
      </w:r>
      <w:r w:rsidRPr="00874C87">
        <w:rPr>
          <w:rStyle w:val="Char"/>
          <w:rFonts w:hint="eastAsia"/>
        </w:rPr>
        <w:t>“‘相年’當爲‘拒年’。”</w:t>
      </w:r>
      <w:r w:rsidRPr="00755810">
        <w:endnoteReference w:id="75"/>
      </w:r>
    </w:p>
    <w:p w:rsidR="002A36C3" w:rsidRPr="00755810" w:rsidRDefault="002A36C3" w:rsidP="00874C87">
      <w:pPr>
        <w:pStyle w:val="aa"/>
        <w:ind w:firstLine="560"/>
      </w:pPr>
      <w:r w:rsidRPr="00755810">
        <w:rPr>
          <w:rFonts w:hint="eastAsia"/>
        </w:rPr>
        <w:t>畢沅衹是解釋了字面，他的意思應該是：“相”是“拒”的形訛，“拒”則通“距”，“豎”亦通“距”，“距”訓爲“遠”，“距年”“豎年”和“相年”是一回事。但他並未指出這三者是否篇名，孫詒讓也未指出</w:t>
      </w:r>
      <w:r w:rsidRPr="00755810">
        <w:endnoteReference w:id="76"/>
      </w:r>
      <w:r w:rsidRPr="00755810">
        <w:rPr>
          <w:rFonts w:hint="eastAsia"/>
        </w:rPr>
        <w:t>。</w:t>
      </w:r>
    </w:p>
    <w:p w:rsidR="002A36C3" w:rsidRPr="00755810" w:rsidRDefault="002A36C3" w:rsidP="00874C87">
      <w:pPr>
        <w:pStyle w:val="aa"/>
        <w:ind w:firstLine="560"/>
      </w:pPr>
      <w:r w:rsidRPr="00755810">
        <w:rPr>
          <w:rFonts w:hint="eastAsia"/>
        </w:rPr>
        <w:t>後來的學者曾對此產生分歧。吳汝綸、王景羲</w:t>
      </w:r>
      <w:r w:rsidRPr="00755810">
        <w:endnoteReference w:id="77"/>
      </w:r>
      <w:r w:rsidRPr="00755810">
        <w:rPr>
          <w:rFonts w:hint="eastAsia"/>
        </w:rPr>
        <w:t>、羅根澤</w:t>
      </w:r>
      <w:r w:rsidRPr="00755810">
        <w:endnoteReference w:id="78"/>
      </w:r>
      <w:r w:rsidRPr="00755810">
        <w:rPr>
          <w:rFonts w:hint="eastAsia"/>
        </w:rPr>
        <w:t>等學者認爲是篇名，而李漁叔先生認爲：</w:t>
      </w:r>
      <w:r w:rsidRPr="00874C87">
        <w:rPr>
          <w:rStyle w:val="Char"/>
          <w:rFonts w:hint="eastAsia"/>
        </w:rPr>
        <w:t>“距年：應作巨年，是說老年人。”</w:t>
      </w:r>
      <w:r w:rsidRPr="00755810">
        <w:rPr>
          <w:rFonts w:hint="eastAsia"/>
        </w:rPr>
        <w:t>“豎年”也是如此，其譯文分別爲：</w:t>
      </w:r>
      <w:r w:rsidRPr="00874C87">
        <w:rPr>
          <w:rStyle w:val="Char"/>
          <w:rFonts w:hint="eastAsia"/>
        </w:rPr>
        <w:t>“這原是聖王的道理，先王的書，老一輩人的話呀！”；“在先王書上，老年人曾經說道：……”。</w:t>
      </w:r>
      <w:r w:rsidRPr="00755810">
        <w:rPr>
          <w:rFonts w:hint="eastAsia"/>
        </w:rPr>
        <w:t>不過在注譯“相年”時，李漁叔先生卻認爲：</w:t>
      </w:r>
      <w:r w:rsidRPr="00874C87">
        <w:rPr>
          <w:rStyle w:val="Char"/>
          <w:rFonts w:hint="eastAsia"/>
        </w:rPr>
        <w:t>“（相年、距年和豎年）均不明其意。或以爲古代逸書之名，或以爲係大年之意，是說前輩老年人，也可通。”</w:t>
      </w:r>
      <w:r w:rsidRPr="00755810">
        <w:rPr>
          <w:rFonts w:hint="eastAsia"/>
        </w:rPr>
        <w:t>其譯文爲：</w:t>
      </w:r>
      <w:r w:rsidRPr="00874C87">
        <w:rPr>
          <w:rStyle w:val="Char"/>
          <w:rFonts w:hint="eastAsia"/>
        </w:rPr>
        <w:t>“所以先王的書——相年有這樣的記載，……。”與前面的處理不同</w:t>
      </w:r>
      <w:r w:rsidRPr="00755810">
        <w:endnoteReference w:id="79"/>
      </w:r>
      <w:r w:rsidRPr="00755810">
        <w:rPr>
          <w:rFonts w:hint="eastAsia"/>
        </w:rPr>
        <w:t>。</w:t>
      </w:r>
    </w:p>
    <w:p w:rsidR="002A36C3" w:rsidRPr="00755810" w:rsidRDefault="002A36C3" w:rsidP="004101B2">
      <w:pPr>
        <w:pStyle w:val="aa"/>
        <w:ind w:firstLine="560"/>
      </w:pPr>
      <w:r w:rsidRPr="00755810">
        <w:rPr>
          <w:rFonts w:hint="eastAsia"/>
        </w:rPr>
        <w:lastRenderedPageBreak/>
        <w:t>今按：其實“逸書之名”與“大年之意（老年人）”並不互斥，書名亦可曰《大年》。不過，書名《大年》與一般意義的“老年人”就不一樣了。</w:t>
      </w:r>
    </w:p>
    <w:p w:rsidR="002A36C3" w:rsidRPr="00755810" w:rsidRDefault="002A36C3" w:rsidP="004101B2">
      <w:pPr>
        <w:pStyle w:val="aa"/>
        <w:ind w:firstLine="560"/>
      </w:pPr>
      <w:r w:rsidRPr="00755810">
        <w:rPr>
          <w:rFonts w:hint="eastAsia"/>
        </w:rPr>
        <w:t>王煥鑣先生也認爲：</w:t>
      </w:r>
      <w:r w:rsidRPr="004101B2">
        <w:rPr>
          <w:rStyle w:val="Char"/>
          <w:rFonts w:hint="eastAsia"/>
        </w:rPr>
        <w:t>“‘距年’猶《莊子·逍遙遊》之‘大年’。……墨子重鉅年之言，與莊、荀諸子之重大年、重耆艾蓋同。……‘耆’、‘豎’音亦相近。……吳汝綸以‘巨年’爲古書，似未塙。”</w:t>
      </w:r>
      <w:r w:rsidRPr="00755810">
        <w:endnoteReference w:id="80"/>
      </w:r>
    </w:p>
    <w:p w:rsidR="002A36C3" w:rsidRPr="00755810" w:rsidRDefault="002A36C3" w:rsidP="004101B2">
      <w:pPr>
        <w:pStyle w:val="aa"/>
        <w:ind w:firstLine="560"/>
      </w:pPr>
      <w:r w:rsidRPr="00755810">
        <w:rPr>
          <w:rFonts w:hint="eastAsia"/>
        </w:rPr>
        <w:t>可見，</w:t>
      </w:r>
      <w:r w:rsidRPr="00755810">
        <w:t>在</w:t>
      </w:r>
      <w:r w:rsidRPr="00755810">
        <w:rPr>
          <w:rFonts w:hint="eastAsia"/>
        </w:rPr>
        <w:t>《呂刑》《周頌》《大誓》肯定是篇名，且孫詒讓已指出《術令》即《說命》的情況下，仍有學者將“距年”“豎年”和“相年”理解爲一般意義的“老年人”。當然，這是錯的，但是錯也有錯的道理：1、除《墨子》自身外，文獻裡找不到這些“篇名”；2、釋爲一般意義的“老年人”也可通，而且還能在《莊子》和《荀子》中找到“依據”。</w:t>
      </w:r>
    </w:p>
    <w:p w:rsidR="002A36C3" w:rsidRPr="00755810" w:rsidRDefault="002A36C3" w:rsidP="004101B2">
      <w:pPr>
        <w:pStyle w:val="aa"/>
        <w:ind w:firstLine="560"/>
      </w:pPr>
      <w:r w:rsidRPr="00755810">
        <w:rPr>
          <w:rFonts w:hint="eastAsia"/>
        </w:rPr>
        <w:t>人們的思維是有共性的，即便是古人和今人之間，也是如此。所以我們無法排除，《古文尚書》的作者可能和李漁叔、王煥鑣兩先生有類似的思路，也即他並未把“術令”和“相年”等當作篇名。認爲古人肯定能推知《術令》是篇名，是把古人神化了。對於“術令”，如果將其理解爲動賓結構，不但也可以講通（主語是“先王之書”），而且如前所言，古書裡本就有動賓結構的“術（述）命”一詞。可見，</w:t>
      </w:r>
      <w:r w:rsidRPr="00755810">
        <w:rPr>
          <w:rFonts w:hint="eastAsia"/>
        </w:rPr>
        <w:lastRenderedPageBreak/>
        <w:t>該作者誤讀“術令”是完全可能的。既然如此，上面的質疑也就不能成立了，《術令》不是《大禹謨》。</w:t>
      </w:r>
    </w:p>
    <w:p w:rsidR="002A36C3" w:rsidRPr="00755810" w:rsidRDefault="002A36C3" w:rsidP="004101B2">
      <w:pPr>
        <w:pStyle w:val="aa"/>
        <w:ind w:firstLine="560"/>
      </w:pPr>
      <w:r w:rsidRPr="00755810">
        <w:rPr>
          <w:rFonts w:hint="eastAsia"/>
        </w:rPr>
        <w:t>李漁叔、王煥鑣兩先生對《術令》爲篇名無異議，是因爲孫詒讓已指出《術令》即《說命》。而《古文尚書》形成時，尚無人指出《術令》和《相年》等是篇名，以及《術令》即《說命》，故而《古文尚書》的作者誤以爲“唯口出好興戎”是篇名不詳的逸文，遂將其抄入了《大禹謨》。這是《大禹謨》的一個作僞痕跡。此外，《距年》的</w:t>
      </w:r>
      <w:r w:rsidRPr="004101B2">
        <w:rPr>
          <w:rStyle w:val="Char"/>
          <w:rFonts w:hint="eastAsia"/>
        </w:rPr>
        <w:t>“求聖君哲人，以裨輔而身。”</w:t>
      </w:r>
      <w:r w:rsidRPr="00755810">
        <w:rPr>
          <w:rFonts w:hint="eastAsia"/>
        </w:rPr>
        <w:t>和《豎年》的</w:t>
      </w:r>
      <w:r w:rsidRPr="004101B2">
        <w:rPr>
          <w:rStyle w:val="Char"/>
          <w:rFonts w:hint="eastAsia"/>
        </w:rPr>
        <w:t>“晞夫聖武知人，以屏輔而身。”</w:t>
      </w:r>
      <w:r w:rsidRPr="00755810">
        <w:rPr>
          <w:rFonts w:hint="eastAsia"/>
        </w:rPr>
        <w:t>與傳世本《伊訓》的</w:t>
      </w:r>
      <w:r w:rsidRPr="004101B2">
        <w:rPr>
          <w:rStyle w:val="Char"/>
          <w:rFonts w:hint="eastAsia"/>
        </w:rPr>
        <w:t>“敷求哲人，俾輔於爾後嗣。”</w:t>
      </w:r>
      <w:r w:rsidRPr="00755810">
        <w:rPr>
          <w:rFonts w:hint="eastAsia"/>
        </w:rPr>
        <w:t>相似。羅根澤先生認爲，此句蓋出於《距年》和《豎年》</w:t>
      </w:r>
      <w:r w:rsidRPr="00755810">
        <w:endnoteReference w:id="81"/>
      </w:r>
      <w:r w:rsidRPr="00755810">
        <w:rPr>
          <w:rFonts w:hint="eastAsia"/>
        </w:rPr>
        <w:t>。</w:t>
      </w:r>
    </w:p>
    <w:p w:rsidR="002A36C3" w:rsidRPr="00755810" w:rsidRDefault="002A36C3" w:rsidP="00755810"/>
    <w:p w:rsidR="002A36C3" w:rsidRPr="004101B2" w:rsidRDefault="002A36C3" w:rsidP="004101B2">
      <w:pPr>
        <w:pStyle w:val="aa"/>
        <w:ind w:firstLine="643"/>
        <w:rPr>
          <w:b/>
          <w:sz w:val="32"/>
          <w:szCs w:val="32"/>
        </w:rPr>
      </w:pPr>
      <w:r w:rsidRPr="004101B2">
        <w:rPr>
          <w:rFonts w:hint="eastAsia"/>
          <w:b/>
          <w:sz w:val="32"/>
          <w:szCs w:val="32"/>
        </w:rPr>
        <w:t>六、總結和餘論</w:t>
      </w:r>
    </w:p>
    <w:p w:rsidR="002A36C3" w:rsidRPr="00755810" w:rsidRDefault="002A36C3" w:rsidP="00755810"/>
    <w:p w:rsidR="002A36C3" w:rsidRPr="00755810" w:rsidRDefault="002A36C3" w:rsidP="004101B2">
      <w:pPr>
        <w:pStyle w:val="aa"/>
        <w:ind w:firstLine="560"/>
      </w:pPr>
      <w:r w:rsidRPr="00755810">
        <w:rPr>
          <w:rFonts w:hint="eastAsia"/>
        </w:rPr>
        <w:t>總之筆者認爲，“術令”與“說命”的同義詞替換關係非常明顯，異文的成因並不是臨時抓了一個音近字來代替。“术”聲字與“兌”聲字的音近通假缺乏書證，同義詞替換的證據則比較充分。“說”與“術”在述說義和欺騙義上都是同義詞，“術”通過“述”與“說”建立聯繫的可能性更大。</w:t>
      </w:r>
    </w:p>
    <w:p w:rsidR="002A36C3" w:rsidRPr="00755810" w:rsidRDefault="002A36C3" w:rsidP="004101B2">
      <w:pPr>
        <w:pStyle w:val="aa"/>
        <w:ind w:firstLine="560"/>
      </w:pPr>
      <w:r w:rsidRPr="00755810">
        <w:rPr>
          <w:rFonts w:hint="eastAsia"/>
        </w:rPr>
        <w:t>可與之參照的是“說好語”與“怵好語”，通過古人的注釋可以</w:t>
      </w:r>
      <w:r w:rsidRPr="00755810">
        <w:rPr>
          <w:rFonts w:hint="eastAsia"/>
        </w:rPr>
        <w:lastRenderedPageBreak/>
        <w:t>確定“怵（訹）”與“說”是同義詞替換，“術”“述”“訹”“怵”是同源字（詞）。“術（述）”與“說”、“怵（訹）”與“說”的性質基本相同。</w:t>
      </w:r>
    </w:p>
    <w:p w:rsidR="002A36C3" w:rsidRPr="00755810" w:rsidRDefault="002A36C3" w:rsidP="004101B2">
      <w:pPr>
        <w:pStyle w:val="aa"/>
        <w:ind w:firstLine="560"/>
      </w:pPr>
      <w:r w:rsidRPr="00755810">
        <w:rPr>
          <w:rFonts w:hint="eastAsia"/>
        </w:rPr>
        <w:t>從“說”到“術”，第一步是在語言上將“說”替換爲同義詞“述”，而第二步是在文字上將“述”寫作同源字（也是古字）“術”。發生這個替換的前提是，傳抄者不知“說”是人名，而將“說命”誤解爲動賓結構的“述命”。這種可能性當然是存在的，雖然是推測，但卻有一定根據。</w:t>
      </w:r>
    </w:p>
    <w:p w:rsidR="002A36C3" w:rsidRPr="00755810" w:rsidRDefault="002A36C3" w:rsidP="004101B2">
      <w:pPr>
        <w:pStyle w:val="aa"/>
        <w:ind w:firstLine="560"/>
      </w:pPr>
      <w:r w:rsidRPr="00755810">
        <w:rPr>
          <w:rFonts w:hint="eastAsia"/>
        </w:rPr>
        <w:t>《術令》的文字出現在清華簡《傅說之命》裡，而“術令”與“說命”在語言文字上也有密切聯繫，這兩個獨立證據足以證明《術令》就是《說命》，不容置疑。至於《大禹謨》裡相同的文字，則衹能是“竄入”的性質。</w:t>
      </w:r>
    </w:p>
    <w:p w:rsidR="002A36C3" w:rsidRPr="00755810" w:rsidRDefault="002A36C3" w:rsidP="004101B2">
      <w:pPr>
        <w:pStyle w:val="aa"/>
        <w:ind w:firstLine="560"/>
      </w:pPr>
      <w:r w:rsidRPr="00755810">
        <w:t>同時，我們再次注意到了這種容易被當作音近通假的、</w:t>
      </w:r>
      <w:r w:rsidRPr="00755810">
        <w:rPr>
          <w:rFonts w:hint="eastAsia"/>
        </w:rPr>
        <w:t>兩個音近</w:t>
      </w:r>
      <w:r w:rsidRPr="00755810">
        <w:t>同義詞的替換現象</w:t>
      </w:r>
      <w:r w:rsidRPr="00755810">
        <w:rPr>
          <w:rFonts w:hint="eastAsia"/>
        </w:rPr>
        <w:t>。訓詁學家曾多次提到異文中的同義詞替換，陸宗達、王寧兩位先生說：“異文的情況十分複雜，一般包括：①同源通用字；②同音借用字；③傳抄中的訛字；④異體字；⑤可以互換的同義詞。”</w:t>
      </w:r>
      <w:r w:rsidRPr="00755810">
        <w:endnoteReference w:id="82"/>
      </w:r>
      <w:r w:rsidRPr="00755810">
        <w:rPr>
          <w:rFonts w:hint="eastAsia"/>
        </w:rPr>
        <w:t xml:space="preserve"> 郭芹納先生也曾經列出異文的幾種情況：通假字、古今字、同音異字、同義詞</w:t>
      </w:r>
      <w:r w:rsidRPr="00755810">
        <w:endnoteReference w:id="83"/>
      </w:r>
      <w:r w:rsidRPr="00755810">
        <w:rPr>
          <w:rFonts w:hint="eastAsia"/>
        </w:rPr>
        <w:t>。</w:t>
      </w:r>
    </w:p>
    <w:p w:rsidR="002A36C3" w:rsidRPr="00755810" w:rsidRDefault="002A36C3" w:rsidP="004101B2">
      <w:pPr>
        <w:pStyle w:val="aa"/>
        <w:ind w:firstLine="560"/>
      </w:pPr>
      <w:r w:rsidRPr="00755810">
        <w:rPr>
          <w:rFonts w:hint="eastAsia"/>
        </w:rPr>
        <w:lastRenderedPageBreak/>
        <w:t>本文的同義詞替換與一般情況有別，它發生在音近的同義詞之間。如果籠統地稱之爲“通假”，則容易被理解爲狹義通假，這樣就局限於“音”，而忽視了“形”和“義”（特別是“義”）的信息。正如王寧先生強調的：</w:t>
      </w:r>
      <w:r w:rsidRPr="004101B2">
        <w:rPr>
          <w:rStyle w:val="Char"/>
          <w:rFonts w:hint="eastAsia"/>
        </w:rPr>
        <w:t>“在運用異文考音時，要注意不要把訛字和置換的同義詞當成同音來對待。”</w:t>
      </w:r>
      <w:r w:rsidRPr="00755810">
        <w:endnoteReference w:id="84"/>
      </w:r>
      <w:r w:rsidRPr="00755810">
        <w:rPr>
          <w:rFonts w:hint="eastAsia"/>
        </w:rPr>
        <w:t xml:space="preserve"> 這對於本文也同樣適用。</w:t>
      </w:r>
    </w:p>
    <w:p w:rsidR="00755810" w:rsidRPr="00755810" w:rsidRDefault="002A36C3" w:rsidP="004101B2">
      <w:pPr>
        <w:pStyle w:val="aa"/>
        <w:ind w:firstLine="560"/>
      </w:pPr>
      <w:r w:rsidRPr="00755810">
        <w:rPr>
          <w:rFonts w:hint="eastAsia"/>
        </w:rPr>
        <w:t>筆者在拙文《釋郭店簡〈成之聞之〉的“詚命”》中認爲，“詚命”與“說命”也屬於此類同義詞替換，讀者可以參看</w:t>
      </w:r>
      <w:r w:rsidRPr="00755810">
        <w:endnoteReference w:id="85"/>
      </w:r>
      <w:r w:rsidRPr="00755810">
        <w:rPr>
          <w:rFonts w:hint="eastAsia"/>
        </w:rPr>
        <w:t>。</w:t>
      </w:r>
    </w:p>
    <w:p w:rsidR="00755810" w:rsidRPr="00755810" w:rsidRDefault="00755810" w:rsidP="00755810"/>
    <w:p w:rsidR="00755810" w:rsidRPr="00755810" w:rsidRDefault="00755810" w:rsidP="004101B2">
      <w:pPr>
        <w:pStyle w:val="aa"/>
        <w:ind w:firstLine="560"/>
        <w:jc w:val="right"/>
      </w:pPr>
      <w:r w:rsidRPr="00755810">
        <w:t>2019年5月</w:t>
      </w:r>
      <w:r w:rsidRPr="00755810">
        <w:rPr>
          <w:rFonts w:hint="eastAsia"/>
        </w:rPr>
        <w:t>31</w:t>
      </w:r>
      <w:r w:rsidRPr="00755810">
        <w:t>日</w:t>
      </w:r>
    </w:p>
    <w:p w:rsidR="00D61D99" w:rsidRPr="00755810" w:rsidRDefault="00D61D99" w:rsidP="00755810"/>
    <w:sectPr w:rsidR="00D61D99" w:rsidRPr="00755810">
      <w:headerReference w:type="default" r:id="rId12"/>
      <w:footerReference w:type="even" r:id="rId13"/>
      <w:footerReference w:type="default" r:id="rId14"/>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140" w:rsidRDefault="00E21140" w:rsidP="00CB0024">
      <w:r>
        <w:separator/>
      </w:r>
    </w:p>
  </w:endnote>
  <w:endnote w:type="continuationSeparator" w:id="0">
    <w:p w:rsidR="00E21140" w:rsidRDefault="00E21140" w:rsidP="00CB0024">
      <w:r>
        <w:continuationSeparator/>
      </w:r>
    </w:p>
  </w:endnote>
  <w:endnote w:id="1">
    <w:p w:rsidR="002A36C3" w:rsidRPr="004101B2" w:rsidRDefault="002A36C3" w:rsidP="004101B2">
      <w:bookmarkStart w:id="0" w:name="_GoBack"/>
      <w:r w:rsidRPr="004101B2">
        <w:endnoteRef/>
      </w:r>
      <w:r w:rsidRPr="004101B2">
        <w:rPr>
          <w:rFonts w:hint="eastAsia"/>
        </w:rPr>
        <w:t xml:space="preserve"> 張岩：《閻若璩〈疏證〉僞證考：清代考據學存在多大問題的一次檢驗》，國學網，2005年，</w:t>
      </w:r>
      <w:hyperlink r:id="rId1" w:history="1">
        <w:r w:rsidRPr="004101B2">
          <w:rPr>
            <w:rStyle w:val="af2"/>
            <w:rFonts w:hint="eastAsia"/>
          </w:rPr>
          <w:t>http://www.guoxue.com/zt/yrq/yrq.htm</w:t>
        </w:r>
      </w:hyperlink>
      <w:r w:rsidRPr="004101B2">
        <w:rPr>
          <w:rFonts w:hint="eastAsia"/>
        </w:rPr>
        <w:t>；張岩：《審核古文〈尚書〉案》，中華書局，2006年12月。</w:t>
      </w:r>
      <w:bookmarkEnd w:id="0"/>
    </w:p>
  </w:endnote>
  <w:endnote w:id="2">
    <w:p w:rsidR="002A36C3" w:rsidRPr="004101B2" w:rsidRDefault="002A36C3" w:rsidP="004101B2">
      <w:r w:rsidRPr="004101B2">
        <w:endnoteRef/>
      </w:r>
      <w:r w:rsidRPr="004101B2">
        <w:rPr>
          <w:rFonts w:hint="eastAsia"/>
        </w:rPr>
        <w:t xml:space="preserve"> 張岩：《審核古文〈尚書〉案》，中華書局，2006年12月，第282-298頁。</w:t>
      </w:r>
    </w:p>
  </w:endnote>
  <w:endnote w:id="3">
    <w:p w:rsidR="002A36C3" w:rsidRPr="004101B2" w:rsidRDefault="002A36C3" w:rsidP="004101B2">
      <w:r w:rsidRPr="004101B2">
        <w:endnoteRef/>
      </w:r>
      <w:r w:rsidRPr="004101B2">
        <w:rPr>
          <w:rFonts w:hint="eastAsia"/>
        </w:rPr>
        <w:t xml:space="preserve"> “無罪推定”衹適用於刑法，是爲了彌補刑法上控方（公權力）與嫌疑人（個人）之間的地位不對等而設立的。就算是將其基本思想推廣到其他領域，也衹能適用於“人”。</w:t>
      </w:r>
    </w:p>
  </w:endnote>
  <w:endnote w:id="4">
    <w:p w:rsidR="002A36C3" w:rsidRPr="004101B2" w:rsidRDefault="002A36C3" w:rsidP="004101B2">
      <w:r w:rsidRPr="004101B2">
        <w:endnoteRef/>
      </w:r>
      <w:r w:rsidRPr="004101B2">
        <w:rPr>
          <w:rFonts w:hint="eastAsia"/>
        </w:rPr>
        <w:t xml:space="preserve"> 正面評價張岩先生工作的有（不完全統計）：丁鼎（程奇立）：《“僞〈古文尚書〉案”平議》，《古籍整理研究學刊》</w:t>
      </w:r>
      <w:r w:rsidRPr="004101B2">
        <w:t>2010</w:t>
      </w:r>
      <w:r w:rsidRPr="004101B2">
        <w:rPr>
          <w:rFonts w:hint="eastAsia"/>
        </w:rPr>
        <w:t>年第</w:t>
      </w:r>
      <w:r w:rsidRPr="004101B2">
        <w:t>2</w:t>
      </w:r>
      <w:r w:rsidRPr="004101B2">
        <w:rPr>
          <w:rFonts w:hint="eastAsia"/>
        </w:rPr>
        <w:t>期；楊善群：《近三十年來古籍辨僞研究工作的新進展》，《中華文化論壇》</w:t>
      </w:r>
      <w:r w:rsidRPr="004101B2">
        <w:t>2011</w:t>
      </w:r>
      <w:r w:rsidRPr="004101B2">
        <w:rPr>
          <w:rFonts w:hint="eastAsia"/>
        </w:rPr>
        <w:t>年第</w:t>
      </w:r>
      <w:r w:rsidRPr="004101B2">
        <w:t>1</w:t>
      </w:r>
      <w:r w:rsidRPr="004101B2">
        <w:rPr>
          <w:rFonts w:hint="eastAsia"/>
        </w:rPr>
        <w:t>期；胡治洪：《〈尚書〉真僞問題之由來與重辨》，《江蘇師範大學學報（哲學社會科學版）》</w:t>
      </w:r>
      <w:r w:rsidRPr="004101B2">
        <w:t>2014</w:t>
      </w:r>
      <w:r w:rsidRPr="004101B2">
        <w:rPr>
          <w:rFonts w:hint="eastAsia"/>
        </w:rPr>
        <w:t>年第</w:t>
      </w:r>
      <w:r w:rsidRPr="004101B2">
        <w:t>1</w:t>
      </w:r>
      <w:r w:rsidRPr="004101B2">
        <w:rPr>
          <w:rFonts w:hint="eastAsia"/>
        </w:rPr>
        <w:t>期；崔海鷹：《孔傳〈古文尚書〉淵源與成書問題探論》，曲阜師範大學博士學位論文，</w:t>
      </w:r>
      <w:r w:rsidRPr="004101B2">
        <w:t>2014</w:t>
      </w:r>
      <w:r w:rsidRPr="004101B2">
        <w:rPr>
          <w:rFonts w:hint="eastAsia"/>
        </w:rPr>
        <w:t>年</w:t>
      </w:r>
      <w:r w:rsidRPr="004101B2">
        <w:t>4</w:t>
      </w:r>
      <w:r w:rsidRPr="004101B2">
        <w:rPr>
          <w:rFonts w:hint="eastAsia"/>
        </w:rPr>
        <w:t>月，第</w:t>
      </w:r>
      <w:r w:rsidRPr="004101B2">
        <w:t>11-12</w:t>
      </w:r>
      <w:r w:rsidRPr="004101B2">
        <w:rPr>
          <w:rFonts w:hint="eastAsia"/>
        </w:rPr>
        <w:t>頁、第</w:t>
      </w:r>
      <w:r w:rsidRPr="004101B2">
        <w:t>17</w:t>
      </w:r>
      <w:r w:rsidRPr="004101B2">
        <w:rPr>
          <w:rFonts w:hint="eastAsia"/>
        </w:rPr>
        <w:t>頁；楊善群：《評閻若璩考據的欺騙性——〈尚書古文疏證〉綜合研究》，《史林》</w:t>
      </w:r>
      <w:r w:rsidRPr="004101B2">
        <w:t>2016</w:t>
      </w:r>
      <w:r w:rsidRPr="004101B2">
        <w:rPr>
          <w:rFonts w:hint="eastAsia"/>
        </w:rPr>
        <w:t>年第</w:t>
      </w:r>
      <w:r w:rsidRPr="004101B2">
        <w:t>1</w:t>
      </w:r>
      <w:r w:rsidRPr="004101B2">
        <w:rPr>
          <w:rFonts w:hint="eastAsia"/>
        </w:rPr>
        <w:t>期。另有一些學者對張岩先生的觀點提出了反對意見，這可以從反面證明其工作的影響力。</w:t>
      </w:r>
    </w:p>
  </w:endnote>
  <w:endnote w:id="5">
    <w:p w:rsidR="002A36C3" w:rsidRPr="004101B2" w:rsidRDefault="002A36C3" w:rsidP="004101B2">
      <w:r w:rsidRPr="004101B2">
        <w:endnoteRef/>
      </w:r>
      <w:r w:rsidRPr="004101B2">
        <w:rPr>
          <w:rFonts w:hint="eastAsia"/>
        </w:rPr>
        <w:t xml:space="preserve"> 張岩：《清華簡〈咸有一德〉〈說命〉真僞考辨》，《山東青年政治學院學報》</w:t>
      </w:r>
      <w:r w:rsidRPr="004101B2">
        <w:t>2015</w:t>
      </w:r>
      <w:r w:rsidRPr="004101B2">
        <w:rPr>
          <w:rFonts w:hint="eastAsia"/>
        </w:rPr>
        <w:t>年第</w:t>
      </w:r>
      <w:r w:rsidRPr="004101B2">
        <w:t>1</w:t>
      </w:r>
      <w:r w:rsidRPr="004101B2">
        <w:rPr>
          <w:rFonts w:hint="eastAsia"/>
        </w:rPr>
        <w:t>期。</w:t>
      </w:r>
    </w:p>
  </w:endnote>
  <w:endnote w:id="6">
    <w:p w:rsidR="002A36C3" w:rsidRPr="004101B2" w:rsidRDefault="002A36C3" w:rsidP="004101B2">
      <w:r w:rsidRPr="004101B2">
        <w:endnoteRef/>
      </w:r>
      <w:r w:rsidRPr="004101B2">
        <w:rPr>
          <w:rFonts w:hint="eastAsia"/>
        </w:rPr>
        <w:t xml:space="preserve"> 清華大學出土文獻研究與保護中心編、李學勤主編：《清華大學藏戰國竹簡（叁）》，中西書局，2012年12月，第127頁（該篇整理者：李學勤）。</w:t>
      </w:r>
    </w:p>
  </w:endnote>
  <w:endnote w:id="7">
    <w:p w:rsidR="002A36C3" w:rsidRPr="004101B2" w:rsidRDefault="002A36C3" w:rsidP="004101B2">
      <w:r w:rsidRPr="004101B2">
        <w:endnoteRef/>
      </w:r>
      <w:r w:rsidRPr="004101B2">
        <w:rPr>
          <w:rFonts w:hint="eastAsia"/>
        </w:rPr>
        <w:t xml:space="preserve"> [清]孫詒讓撰、孫啟治點校：《墨子閒詁》，中華書局，2001年4月，自序第3頁、正文第85頁。</w:t>
      </w:r>
    </w:p>
  </w:endnote>
  <w:endnote w:id="8">
    <w:p w:rsidR="002A36C3" w:rsidRPr="004101B2" w:rsidRDefault="002A36C3" w:rsidP="004101B2">
      <w:r w:rsidRPr="004101B2">
        <w:endnoteRef/>
      </w:r>
      <w:r w:rsidRPr="004101B2">
        <w:rPr>
          <w:rFonts w:hint="eastAsia"/>
        </w:rPr>
        <w:t xml:space="preserve"> 劉師培：《墨子拾補》，《劉申叔先生遺書》第廿七冊，寧武南氏校印，1934年，卷上第六頁。</w:t>
      </w:r>
    </w:p>
  </w:endnote>
  <w:endnote w:id="9">
    <w:p w:rsidR="002A36C3" w:rsidRPr="004101B2" w:rsidRDefault="002A36C3" w:rsidP="004101B2">
      <w:r w:rsidRPr="004101B2">
        <w:endnoteRef/>
      </w:r>
      <w:r w:rsidRPr="004101B2">
        <w:rPr>
          <w:rFonts w:hint="eastAsia"/>
        </w:rPr>
        <w:t xml:space="preserve"> [清]孫詒讓撰、孫啟治點校：《墨子閒詁》，中華書局，2001年，前言第5頁。</w:t>
      </w:r>
    </w:p>
  </w:endnote>
  <w:endnote w:id="10">
    <w:p w:rsidR="002A36C3" w:rsidRPr="004101B2" w:rsidRDefault="002A36C3" w:rsidP="004101B2">
      <w:r w:rsidRPr="004101B2">
        <w:endnoteRef/>
      </w:r>
      <w:r w:rsidRPr="004101B2">
        <w:rPr>
          <w:rFonts w:hint="eastAsia"/>
        </w:rPr>
        <w:t xml:space="preserve"> 殷作炎：《古籍校釋：古音明而小學明——〈墨子閒詁〉“術令”及“情”“誠”通用示例》，杭州師範大學學報（社會科學版），2016年第4期。</w:t>
      </w:r>
    </w:p>
  </w:endnote>
  <w:endnote w:id="11">
    <w:p w:rsidR="002A36C3" w:rsidRPr="004101B2" w:rsidRDefault="002A36C3" w:rsidP="004101B2">
      <w:r w:rsidRPr="004101B2">
        <w:endnoteRef/>
      </w:r>
      <w:r w:rsidRPr="004101B2">
        <w:rPr>
          <w:rFonts w:hint="eastAsia"/>
        </w:rPr>
        <w:t xml:space="preserve"> 羅根澤：《由〈墨子〉引經推測儒墨兩家與經書之關係》，見《古史辨》第四冊，上海古籍出版社，1982年8月，第286頁。</w:t>
      </w:r>
    </w:p>
  </w:endnote>
  <w:endnote w:id="12">
    <w:p w:rsidR="002A36C3" w:rsidRPr="004101B2" w:rsidRDefault="002A36C3" w:rsidP="004101B2">
      <w:r w:rsidRPr="004101B2">
        <w:endnoteRef/>
      </w:r>
      <w:r w:rsidRPr="004101B2">
        <w:rPr>
          <w:rFonts w:hint="eastAsia"/>
        </w:rPr>
        <w:t xml:space="preserve"> 依據王力：《同源字論》，見《同源字典》，商務印書館，1982年10月，第13-20頁。</w:t>
      </w:r>
    </w:p>
  </w:endnote>
  <w:endnote w:id="13">
    <w:p w:rsidR="002A36C3" w:rsidRPr="004101B2" w:rsidRDefault="002A36C3" w:rsidP="004101B2">
      <w:r w:rsidRPr="004101B2">
        <w:endnoteRef/>
      </w:r>
      <w:r w:rsidRPr="004101B2">
        <w:rPr>
          <w:rFonts w:hint="eastAsia"/>
        </w:rPr>
        <w:t xml:space="preserve"> 王輝編著：《古文字通假字典》，中華書局，2008年2月，自序第13頁。</w:t>
      </w:r>
    </w:p>
  </w:endnote>
  <w:endnote w:id="14">
    <w:p w:rsidR="002A36C3" w:rsidRPr="004101B2" w:rsidRDefault="002A36C3" w:rsidP="004101B2">
      <w:r w:rsidRPr="004101B2">
        <w:endnoteRef/>
      </w:r>
      <w:r w:rsidRPr="004101B2">
        <w:rPr>
          <w:rFonts w:hint="eastAsia"/>
        </w:rPr>
        <w:t xml:space="preserve"> 王輝編著：《古文字通假字典》，中華書局，2008年2月，第565、566、580、581、584、594、628、629、637、638頁。這是此書全部“术”</w:t>
      </w:r>
      <w:r w:rsidRPr="004101B2">
        <w:t>聲字和“兌”聲字出現的位置。本文所用的“通假字”工具書，其收字範圍都包括但不限於“音近通假”。</w:t>
      </w:r>
    </w:p>
  </w:endnote>
  <w:endnote w:id="15">
    <w:p w:rsidR="002A36C3" w:rsidRPr="004101B2" w:rsidRDefault="002A36C3" w:rsidP="004101B2">
      <w:r w:rsidRPr="004101B2">
        <w:endnoteRef/>
      </w:r>
      <w:r w:rsidRPr="004101B2">
        <w:rPr>
          <w:rFonts w:hint="eastAsia"/>
        </w:rPr>
        <w:t xml:space="preserve"> 白於藍編著：《簡帛古書通假字大系》，福建人民出版社，2017年12月，第763-771頁（兑字聲系）、第865-872頁（术字聲系），“脫與術”條見第768頁。</w:t>
      </w:r>
    </w:p>
  </w:endnote>
  <w:endnote w:id="16">
    <w:p w:rsidR="002A36C3" w:rsidRPr="004101B2" w:rsidRDefault="002A36C3" w:rsidP="004101B2">
      <w:r w:rsidRPr="004101B2">
        <w:endnoteRef/>
      </w:r>
      <w:r w:rsidRPr="004101B2">
        <w:rPr>
          <w:rFonts w:hint="eastAsia"/>
        </w:rPr>
        <w:t xml:space="preserve"> 國家文物局古文獻研究室編：《馬王堆漢墓帛書（壹）》，文物出版社，1980年3月，第6頁（甲本釋文）、第92頁（乙本釋文）。</w:t>
      </w:r>
    </w:p>
  </w:endnote>
  <w:endnote w:id="17">
    <w:p w:rsidR="002A36C3" w:rsidRPr="004101B2" w:rsidRDefault="002A36C3" w:rsidP="004101B2">
      <w:r w:rsidRPr="004101B2">
        <w:endnoteRef/>
      </w:r>
      <w:r w:rsidRPr="004101B2">
        <w:rPr>
          <w:rFonts w:hint="eastAsia"/>
        </w:rPr>
        <w:t xml:space="preserve"> 馬王堆漢墓帛書整理小組編：《馬王堆漢墓帛書·老子》，文物出版社，1976年3月，第18頁。</w:t>
      </w:r>
    </w:p>
  </w:endnote>
  <w:endnote w:id="18">
    <w:p w:rsidR="002A36C3" w:rsidRPr="004101B2" w:rsidRDefault="002A36C3" w:rsidP="004101B2">
      <w:r w:rsidRPr="004101B2">
        <w:endnoteRef/>
      </w:r>
      <w:r w:rsidRPr="004101B2">
        <w:rPr>
          <w:rFonts w:hint="eastAsia"/>
        </w:rPr>
        <w:t xml:space="preserve"> 國家文物局古文獻研究室編：《馬王堆漢墓帛書（壹）》，文物出版社，1980年3月，第9頁。</w:t>
      </w:r>
    </w:p>
  </w:endnote>
  <w:endnote w:id="19">
    <w:p w:rsidR="002A36C3" w:rsidRPr="004101B2" w:rsidRDefault="002A36C3" w:rsidP="004101B2">
      <w:r w:rsidRPr="004101B2">
        <w:endnoteRef/>
      </w:r>
      <w:r w:rsidRPr="004101B2">
        <w:rPr>
          <w:rFonts w:hint="eastAsia"/>
        </w:rPr>
        <w:t xml:space="preserve"> 裘錫圭：《考古發現的秦漢文字資料對於校讀古籍的重要性》，《中國社會科學》1980年第5期。</w:t>
      </w:r>
    </w:p>
  </w:endnote>
  <w:endnote w:id="20">
    <w:p w:rsidR="002A36C3" w:rsidRPr="004101B2" w:rsidRDefault="002A36C3" w:rsidP="004101B2">
      <w:r w:rsidRPr="004101B2">
        <w:endnoteRef/>
      </w:r>
      <w:r w:rsidRPr="004101B2">
        <w:rPr>
          <w:rFonts w:hint="eastAsia"/>
        </w:rPr>
        <w:t xml:space="preserve"> 裘錫圭主編：《長沙馬王堆漢墓簡帛集成（肆）》，中華書局，2014年6月，第37頁。</w:t>
      </w:r>
    </w:p>
  </w:endnote>
  <w:endnote w:id="21">
    <w:p w:rsidR="002A36C3" w:rsidRPr="004101B2" w:rsidRDefault="002A36C3" w:rsidP="004101B2">
      <w:r w:rsidRPr="004101B2">
        <w:endnoteRef/>
      </w:r>
      <w:r w:rsidRPr="004101B2">
        <w:rPr>
          <w:rFonts w:hint="eastAsia"/>
        </w:rPr>
        <w:t xml:space="preserve"> 許抗生：《帛書老子注譯與研究》，浙江人民出版社，1982年2月，第60頁。</w:t>
      </w:r>
    </w:p>
  </w:endnote>
  <w:endnote w:id="22">
    <w:p w:rsidR="002A36C3" w:rsidRPr="004101B2" w:rsidRDefault="002A36C3" w:rsidP="004101B2">
      <w:r w:rsidRPr="004101B2">
        <w:endnoteRef/>
      </w:r>
      <w:r w:rsidRPr="004101B2">
        <w:rPr>
          <w:rFonts w:hint="eastAsia"/>
        </w:rPr>
        <w:t xml:space="preserve"> 高明：《帛書老子校注》，中華書局，1996年5月，第193頁。</w:t>
      </w:r>
    </w:p>
  </w:endnote>
  <w:endnote w:id="23">
    <w:p w:rsidR="002A36C3" w:rsidRPr="004101B2" w:rsidRDefault="002A36C3" w:rsidP="004101B2">
      <w:r w:rsidRPr="004101B2">
        <w:endnoteRef/>
      </w:r>
      <w:r w:rsidRPr="004101B2">
        <w:rPr>
          <w:rFonts w:hint="eastAsia"/>
        </w:rPr>
        <w:t xml:space="preserve"> 李零：《人往低處走——〈老子〉天下第一》，三聯書店，2008年3月，第230頁。</w:t>
      </w:r>
    </w:p>
  </w:endnote>
  <w:endnote w:id="24">
    <w:p w:rsidR="002A36C3" w:rsidRPr="004101B2" w:rsidRDefault="002A36C3" w:rsidP="004101B2">
      <w:r w:rsidRPr="004101B2">
        <w:endnoteRef/>
      </w:r>
      <w:r w:rsidRPr="004101B2">
        <w:rPr>
          <w:rFonts w:hint="eastAsia"/>
        </w:rPr>
        <w:t xml:space="preserve"> 北京大學出土文獻研究所編：《北京大學藏西漢竹書（貳）》（本卷編撰人：韓巍），上海古籍出版社，2012年12月，第141頁。另，此句的圖片見第16頁，各本對照表見第188-189頁。</w:t>
      </w:r>
    </w:p>
  </w:endnote>
  <w:endnote w:id="25">
    <w:p w:rsidR="002A36C3" w:rsidRPr="004101B2" w:rsidRDefault="002A36C3" w:rsidP="004101B2">
      <w:r w:rsidRPr="004101B2">
        <w:endnoteRef/>
      </w:r>
      <w:r w:rsidRPr="004101B2">
        <w:rPr>
          <w:rFonts w:hint="eastAsia"/>
        </w:rPr>
        <w:t xml:space="preserve"> 高亨纂著、董治安整理：《古字通假會典》，齊魯書社，1989年7月，第557-558頁（朮字聲系）、第637-643頁（兌字聲系），“怵與說”條見第558頁。</w:t>
      </w:r>
    </w:p>
  </w:endnote>
  <w:endnote w:id="26">
    <w:p w:rsidR="002A36C3" w:rsidRPr="004101B2" w:rsidRDefault="002A36C3" w:rsidP="004101B2">
      <w:r w:rsidRPr="004101B2">
        <w:endnoteRef/>
      </w:r>
      <w:r w:rsidRPr="004101B2">
        <w:rPr>
          <w:rFonts w:hint="eastAsia"/>
        </w:rPr>
        <w:t xml:space="preserve"> 高亨纂著、董治安整理：《古字通假會典》，齊魯書社，1989年7月，前言第9-10頁。</w:t>
      </w:r>
    </w:p>
  </w:endnote>
  <w:endnote w:id="27">
    <w:p w:rsidR="002A36C3" w:rsidRPr="004101B2" w:rsidRDefault="002A36C3" w:rsidP="004101B2">
      <w:r w:rsidRPr="004101B2">
        <w:endnoteRef/>
      </w:r>
      <w:r w:rsidRPr="004101B2">
        <w:rPr>
          <w:rFonts w:hint="eastAsia"/>
        </w:rPr>
        <w:t xml:space="preserve"> [漢]司馬遷撰、[唐]司馬貞索隱：《史記》第九冊，中華書局，1959年9月，第2971頁。</w:t>
      </w:r>
    </w:p>
  </w:endnote>
  <w:endnote w:id="28">
    <w:p w:rsidR="002A36C3" w:rsidRPr="004101B2" w:rsidRDefault="002A36C3" w:rsidP="004101B2">
      <w:r w:rsidRPr="004101B2">
        <w:endnoteRef/>
      </w:r>
      <w:r w:rsidRPr="004101B2">
        <w:rPr>
          <w:rFonts w:hint="eastAsia"/>
        </w:rPr>
        <w:t xml:space="preserve"> [漢]班固撰、[唐]顏師古注：《漢書》第十一冊，中華書局，1962年6月，第3854頁。</w:t>
      </w:r>
    </w:p>
  </w:endnote>
  <w:endnote w:id="29">
    <w:p w:rsidR="002A36C3" w:rsidRPr="004101B2" w:rsidRDefault="002A36C3" w:rsidP="004101B2">
      <w:r w:rsidRPr="004101B2">
        <w:endnoteRef/>
      </w:r>
      <w:r w:rsidRPr="004101B2">
        <w:rPr>
          <w:rFonts w:hint="eastAsia"/>
        </w:rPr>
        <w:t xml:space="preserve"> [漢]班固撰、[唐]顏師古注：《漢書》第一冊，中華書局，1962年6月，第175頁。</w:t>
      </w:r>
    </w:p>
  </w:endnote>
  <w:endnote w:id="30">
    <w:p w:rsidR="002A36C3" w:rsidRPr="004101B2" w:rsidRDefault="002A36C3" w:rsidP="004101B2">
      <w:r w:rsidRPr="004101B2">
        <w:endnoteRef/>
      </w:r>
      <w:r w:rsidRPr="004101B2">
        <w:rPr>
          <w:rFonts w:hint="eastAsia"/>
        </w:rPr>
        <w:t xml:space="preserve"> [宋]司馬光編著、[元]胡三省音註：《資治通鑑》第二冊，中華書局，1956年6月，第574頁。</w:t>
      </w:r>
    </w:p>
  </w:endnote>
  <w:endnote w:id="31">
    <w:p w:rsidR="002A36C3" w:rsidRPr="004101B2" w:rsidRDefault="002A36C3" w:rsidP="004101B2">
      <w:r w:rsidRPr="004101B2">
        <w:endnoteRef/>
      </w:r>
      <w:r w:rsidRPr="004101B2">
        <w:rPr>
          <w:rFonts w:hint="eastAsia"/>
        </w:rPr>
        <w:t xml:space="preserve"> [清]王念孫：《讀書雜志》，江蘇古籍出版社，1985年7月，第186頁。</w:t>
      </w:r>
    </w:p>
  </w:endnote>
  <w:endnote w:id="32">
    <w:p w:rsidR="002A36C3" w:rsidRPr="004101B2" w:rsidRDefault="002A36C3" w:rsidP="004101B2">
      <w:r w:rsidRPr="004101B2">
        <w:endnoteRef/>
      </w:r>
      <w:r w:rsidRPr="004101B2">
        <w:rPr>
          <w:rFonts w:hint="eastAsia"/>
        </w:rPr>
        <w:t xml:space="preserve"> 李杏：《〈漢書注〉涉字形之訓詁研究》，吉首大學碩士學位論文，2015年5月，第20頁。</w:t>
      </w:r>
    </w:p>
  </w:endnote>
  <w:endnote w:id="33">
    <w:p w:rsidR="002A36C3" w:rsidRPr="004101B2" w:rsidRDefault="002A36C3" w:rsidP="004101B2">
      <w:r w:rsidRPr="004101B2">
        <w:endnoteRef/>
      </w:r>
      <w:r w:rsidRPr="004101B2">
        <w:rPr>
          <w:rFonts w:hint="eastAsia"/>
        </w:rPr>
        <w:t xml:space="preserve"> 王力：《同源字典》，商務印書館，1982年10月，第460、462、463頁。</w:t>
      </w:r>
    </w:p>
  </w:endnote>
  <w:endnote w:id="34">
    <w:p w:rsidR="002A36C3" w:rsidRPr="004101B2" w:rsidRDefault="002A36C3" w:rsidP="004101B2">
      <w:r w:rsidRPr="004101B2">
        <w:endnoteRef/>
      </w:r>
      <w:r w:rsidRPr="004101B2">
        <w:rPr>
          <w:rFonts w:hint="eastAsia"/>
        </w:rPr>
        <w:t xml:space="preserve"> 漢語大字典編輯委員會編纂：《漢語大字典》第二版（九卷本）第4卷，湖北長江出版集團等，2010年4月，第2444、2445頁。</w:t>
      </w:r>
    </w:p>
  </w:endnote>
  <w:endnote w:id="35">
    <w:p w:rsidR="002A36C3" w:rsidRPr="004101B2" w:rsidRDefault="002A36C3" w:rsidP="004101B2">
      <w:r w:rsidRPr="004101B2">
        <w:endnoteRef/>
      </w:r>
      <w:r w:rsidRPr="004101B2">
        <w:rPr>
          <w:rFonts w:hint="eastAsia"/>
        </w:rPr>
        <w:t xml:space="preserve"> [明]施耐庵撰、[明]羅貫中纂修：《明容與堂刻水滸傳》第二冊，上海人民出版社，1975年4月，卷三八第十四頁。</w:t>
      </w:r>
    </w:p>
  </w:endnote>
  <w:endnote w:id="36">
    <w:p w:rsidR="002A36C3" w:rsidRPr="004101B2" w:rsidRDefault="002A36C3" w:rsidP="004101B2">
      <w:r w:rsidRPr="004101B2">
        <w:endnoteRef/>
      </w:r>
      <w:r w:rsidRPr="004101B2">
        <w:rPr>
          <w:rFonts w:hint="eastAsia"/>
        </w:rPr>
        <w:t xml:space="preserve"> 依據郭錫良：《漢字古音手冊》，北京大學出版社，1986年11月。下同。</w:t>
      </w:r>
    </w:p>
  </w:endnote>
  <w:endnote w:id="37">
    <w:p w:rsidR="002A36C3" w:rsidRPr="004101B2" w:rsidRDefault="002A36C3" w:rsidP="004101B2">
      <w:r w:rsidRPr="004101B2">
        <w:endnoteRef/>
      </w:r>
      <w:r w:rsidRPr="004101B2">
        <w:rPr>
          <w:rFonts w:hint="eastAsia"/>
        </w:rPr>
        <w:t xml:space="preserve"> 曾小霞：《〈史記〉〈漢書〉的敘述學及其研究史》，蘇州大學博士學位論文，</w:t>
      </w:r>
      <w:r w:rsidRPr="004101B2">
        <w:t>2012</w:t>
      </w:r>
      <w:r w:rsidRPr="004101B2">
        <w:rPr>
          <w:rFonts w:hint="eastAsia"/>
        </w:rPr>
        <w:t>年</w:t>
      </w:r>
      <w:r w:rsidRPr="004101B2">
        <w:t>3</w:t>
      </w:r>
      <w:r w:rsidRPr="004101B2">
        <w:rPr>
          <w:rFonts w:hint="eastAsia"/>
        </w:rPr>
        <w:t>月，第</w:t>
      </w:r>
      <w:r w:rsidRPr="004101B2">
        <w:t>162-171</w:t>
      </w:r>
      <w:r w:rsidRPr="004101B2">
        <w:rPr>
          <w:rFonts w:hint="eastAsia"/>
        </w:rPr>
        <w:t>頁。</w:t>
      </w:r>
    </w:p>
  </w:endnote>
  <w:endnote w:id="38">
    <w:p w:rsidR="002A36C3" w:rsidRPr="004101B2" w:rsidRDefault="002A36C3" w:rsidP="004101B2">
      <w:r w:rsidRPr="004101B2">
        <w:endnoteRef/>
      </w:r>
      <w:r w:rsidRPr="004101B2">
        <w:rPr>
          <w:rFonts w:hint="eastAsia"/>
        </w:rPr>
        <w:t xml:space="preserve"> 王力：《同源字典》，商務印書館，1982年10月，第460頁。</w:t>
      </w:r>
    </w:p>
  </w:endnote>
  <w:endnote w:id="39">
    <w:p w:rsidR="002A36C3" w:rsidRPr="004101B2" w:rsidRDefault="002A36C3" w:rsidP="004101B2">
      <w:r w:rsidRPr="004101B2">
        <w:endnoteRef/>
      </w:r>
      <w:r w:rsidRPr="004101B2">
        <w:rPr>
          <w:rFonts w:hint="eastAsia"/>
        </w:rPr>
        <w:t xml:space="preserve"> [清]畢沅校注：《墨子》，清乾隆甲辰年（1784年）靈巖山館本，卷十一第十一頁。</w:t>
      </w:r>
    </w:p>
  </w:endnote>
  <w:endnote w:id="40">
    <w:p w:rsidR="002A36C3" w:rsidRPr="004101B2" w:rsidRDefault="002A36C3" w:rsidP="004101B2">
      <w:r w:rsidRPr="004101B2">
        <w:endnoteRef/>
      </w:r>
      <w:r w:rsidRPr="004101B2">
        <w:rPr>
          <w:rFonts w:hint="eastAsia"/>
        </w:rPr>
        <w:t xml:space="preserve"> [漢]班固撰、[唐]顏師古注：《漢書》第八冊，中華書局，1962年6月，第2335頁。</w:t>
      </w:r>
    </w:p>
  </w:endnote>
  <w:endnote w:id="41">
    <w:p w:rsidR="002A36C3" w:rsidRPr="004101B2" w:rsidRDefault="002A36C3" w:rsidP="004101B2">
      <w:r w:rsidRPr="004101B2">
        <w:endnoteRef/>
      </w:r>
      <w:r w:rsidRPr="004101B2">
        <w:rPr>
          <w:rFonts w:hint="eastAsia"/>
        </w:rPr>
        <w:t xml:space="preserve"> 荆門市博物館編：《郭店楚墓竹簡》，文物出版社，1998年5月，第179頁。</w:t>
      </w:r>
    </w:p>
  </w:endnote>
  <w:endnote w:id="42">
    <w:p w:rsidR="002A36C3" w:rsidRPr="004101B2" w:rsidRDefault="002A36C3" w:rsidP="004101B2">
      <w:r w:rsidRPr="004101B2">
        <w:endnoteRef/>
      </w:r>
      <w:r w:rsidRPr="004101B2">
        <w:rPr>
          <w:rFonts w:hint="eastAsia"/>
        </w:rPr>
        <w:t xml:space="preserve"> 高亨纂著、董治安整理：《古字通假會典》，齊魯書社，1989年7月，第558頁；王輝編著：《古文字通假字典》，中華書局，2008年2月，第581頁；白於藍編著：《簡帛古書通假字大系》，福建人民出版社，2017年12月，第867-868頁、第872頁。</w:t>
      </w:r>
    </w:p>
  </w:endnote>
  <w:endnote w:id="43">
    <w:p w:rsidR="002A36C3" w:rsidRPr="004101B2" w:rsidRDefault="002A36C3" w:rsidP="004101B2">
      <w:r w:rsidRPr="004101B2">
        <w:endnoteRef/>
      </w:r>
      <w:r w:rsidRPr="004101B2">
        <w:rPr>
          <w:rFonts w:hint="eastAsia"/>
        </w:rPr>
        <w:t xml:space="preserve"> 王力主編：《王力古漢語字典》，中華書局，2000年6月，第1424頁。</w:t>
      </w:r>
    </w:p>
  </w:endnote>
  <w:endnote w:id="44">
    <w:p w:rsidR="002A36C3" w:rsidRPr="004101B2" w:rsidRDefault="002A36C3" w:rsidP="004101B2">
      <w:r w:rsidRPr="004101B2">
        <w:endnoteRef/>
      </w:r>
      <w:r w:rsidRPr="004101B2">
        <w:rPr>
          <w:rFonts w:hint="eastAsia"/>
        </w:rPr>
        <w:t xml:space="preserve"> [漢]許慎撰、[清]段玉裁注：《說文解字注》，上海古籍出版社，1981年10月，第93頁。</w:t>
      </w:r>
    </w:p>
  </w:endnote>
  <w:endnote w:id="45">
    <w:p w:rsidR="002A36C3" w:rsidRPr="004101B2" w:rsidRDefault="002A36C3" w:rsidP="004101B2">
      <w:r w:rsidRPr="004101B2">
        <w:endnoteRef/>
      </w:r>
      <w:r w:rsidRPr="004101B2">
        <w:rPr>
          <w:rFonts w:hint="eastAsia"/>
        </w:rPr>
        <w:t xml:space="preserve"> [梁]蕭統編、[唐]李善等注：《六臣注文選》，中華書局，1987年8月，上冊第32頁。</w:t>
      </w:r>
    </w:p>
  </w:endnote>
  <w:endnote w:id="46">
    <w:p w:rsidR="002A36C3" w:rsidRPr="004101B2" w:rsidRDefault="002A36C3" w:rsidP="004101B2">
      <w:r w:rsidRPr="004101B2">
        <w:endnoteRef/>
      </w:r>
      <w:r w:rsidRPr="004101B2">
        <w:rPr>
          <w:rFonts w:hint="eastAsia"/>
        </w:rPr>
        <w:t xml:space="preserve"> 漢語大字典編輯委員會編纂：《漢語大字典》第二版（九卷本）第7卷，湖北長江出版集團等，2010年4月，第4225頁。</w:t>
      </w:r>
    </w:p>
  </w:endnote>
  <w:endnote w:id="47">
    <w:p w:rsidR="002A36C3" w:rsidRPr="004101B2" w:rsidRDefault="002A36C3" w:rsidP="004101B2">
      <w:r w:rsidRPr="004101B2">
        <w:endnoteRef/>
      </w:r>
      <w:r w:rsidRPr="004101B2">
        <w:rPr>
          <w:rFonts w:hint="eastAsia"/>
        </w:rPr>
        <w:t xml:space="preserve"> [漢]許慎撰、[清]段玉裁注：《說文解字注》，上海古籍出版社，1981年10月，第405頁。</w:t>
      </w:r>
    </w:p>
  </w:endnote>
  <w:endnote w:id="48">
    <w:p w:rsidR="002A36C3" w:rsidRPr="004101B2" w:rsidRDefault="002A36C3" w:rsidP="004101B2">
      <w:r w:rsidRPr="004101B2">
        <w:endnoteRef/>
      </w:r>
      <w:r w:rsidRPr="004101B2">
        <w:rPr>
          <w:rFonts w:hint="eastAsia"/>
        </w:rPr>
        <w:t xml:space="preserve"> 王寧：《訓詁學原理》，中國國際廣播出版社，1996年8月，第125頁。</w:t>
      </w:r>
    </w:p>
  </w:endnote>
  <w:endnote w:id="49">
    <w:p w:rsidR="002A36C3" w:rsidRPr="004101B2" w:rsidRDefault="002A36C3" w:rsidP="004101B2">
      <w:r w:rsidRPr="004101B2">
        <w:endnoteRef/>
      </w:r>
      <w:r w:rsidRPr="004101B2">
        <w:rPr>
          <w:rFonts w:hint="eastAsia"/>
        </w:rPr>
        <w:t xml:space="preserve"> 子喬：《釋郭店簡〈成之聞之〉的“詚命”》，復旦大學出土文獻與古文字研究中心網站論文，2019年5月21日，</w:t>
      </w:r>
      <w:hyperlink r:id="rId2" w:history="1">
        <w:r w:rsidRPr="004101B2">
          <w:rPr>
            <w:rStyle w:val="af2"/>
          </w:rPr>
          <w:t>http://www.gwz.fudan.edu.cn/Web/Show/4429</w:t>
        </w:r>
      </w:hyperlink>
      <w:r w:rsidRPr="004101B2">
        <w:t>。</w:t>
      </w:r>
    </w:p>
  </w:endnote>
  <w:endnote w:id="50">
    <w:p w:rsidR="002A36C3" w:rsidRPr="004101B2" w:rsidRDefault="002A36C3" w:rsidP="004101B2">
      <w:r w:rsidRPr="004101B2">
        <w:endnoteRef/>
      </w:r>
      <w:r w:rsidRPr="004101B2">
        <w:rPr>
          <w:rFonts w:hint="eastAsia"/>
        </w:rPr>
        <w:t xml:space="preserve"> 馬承源主編：《上海博物館藏戰國楚竹書（五）》，上海古籍出版社，2005年12月，第21頁、第170-171頁（該篇整理者：陳佩芬）。</w:t>
      </w:r>
    </w:p>
  </w:endnote>
  <w:endnote w:id="51">
    <w:p w:rsidR="002A36C3" w:rsidRPr="004101B2" w:rsidRDefault="002A36C3" w:rsidP="004101B2">
      <w:r w:rsidRPr="004101B2">
        <w:endnoteRef/>
      </w:r>
      <w:r w:rsidRPr="004101B2">
        <w:rPr>
          <w:rFonts w:hint="eastAsia"/>
        </w:rPr>
        <w:t xml:space="preserve"> 清華大學出土文獻研究與保護中心編、李學勤主編：《清華大學藏戰國竹簡（叁）》，中西書局，2012年12月，第29、122頁（該篇整理者：李學勤）。</w:t>
      </w:r>
    </w:p>
  </w:endnote>
  <w:endnote w:id="52">
    <w:p w:rsidR="002A36C3" w:rsidRPr="004101B2" w:rsidRDefault="002A36C3" w:rsidP="004101B2">
      <w:r w:rsidRPr="004101B2">
        <w:endnoteRef/>
      </w:r>
      <w:r w:rsidRPr="004101B2">
        <w:rPr>
          <w:rFonts w:hint="eastAsia"/>
        </w:rPr>
        <w:t xml:space="preserve"> 清華大學出土文獻研究與保護中心編、李學勤主編：《清華大學藏戰國竹簡（叁）》，中西書局，2012年12月，第93、157頁（該篇整理者：沈建華）。</w:t>
      </w:r>
    </w:p>
  </w:endnote>
  <w:endnote w:id="53">
    <w:p w:rsidR="002A36C3" w:rsidRPr="004101B2" w:rsidRDefault="002A36C3" w:rsidP="004101B2">
      <w:r w:rsidRPr="004101B2">
        <w:endnoteRef/>
      </w:r>
      <w:r w:rsidRPr="004101B2">
        <w:rPr>
          <w:rFonts w:hint="eastAsia"/>
        </w:rPr>
        <w:t xml:space="preserve"> 荆門市博物館編：《郭店楚墓竹簡》，文物出版社，1998年5月，第51頁。</w:t>
      </w:r>
    </w:p>
  </w:endnote>
  <w:endnote w:id="54">
    <w:p w:rsidR="002A36C3" w:rsidRPr="004101B2" w:rsidRDefault="002A36C3" w:rsidP="004101B2">
      <w:r w:rsidRPr="004101B2">
        <w:endnoteRef/>
      </w:r>
      <w:r w:rsidRPr="004101B2">
        <w:rPr>
          <w:rFonts w:hint="eastAsia"/>
        </w:rPr>
        <w:t xml:space="preserve"> 李學勤：《試論楚簡中的〈說命〉佚文》，煙台大學學報</w:t>
      </w:r>
      <w:r w:rsidRPr="004101B2">
        <w:t>（</w:t>
      </w:r>
      <w:r w:rsidRPr="004101B2">
        <w:rPr>
          <w:rFonts w:hint="eastAsia"/>
        </w:rPr>
        <w:t>哲學社會科學版</w:t>
      </w:r>
      <w:r w:rsidRPr="004101B2">
        <w:t>），</w:t>
      </w:r>
      <w:r w:rsidRPr="004101B2">
        <w:rPr>
          <w:rFonts w:hint="eastAsia"/>
        </w:rPr>
        <w:t>2008年第2期。</w:t>
      </w:r>
    </w:p>
  </w:endnote>
  <w:endnote w:id="55">
    <w:p w:rsidR="002A36C3" w:rsidRPr="004101B2" w:rsidRDefault="002A36C3" w:rsidP="004101B2">
      <w:r w:rsidRPr="004101B2">
        <w:endnoteRef/>
      </w:r>
      <w:r w:rsidRPr="004101B2">
        <w:rPr>
          <w:rFonts w:hint="eastAsia"/>
        </w:rPr>
        <w:t xml:space="preserve"> 子喬：《釋郭店簡〈成之聞之〉的“詚命”》，復旦大學出土文獻與古文字研究中心網站論文，2019年5月21日，</w:t>
      </w:r>
      <w:hyperlink r:id="rId3" w:history="1">
        <w:r w:rsidRPr="004101B2">
          <w:rPr>
            <w:rStyle w:val="af2"/>
          </w:rPr>
          <w:t>http://www.gwz.fudan.edu.cn/Web/Show/4429</w:t>
        </w:r>
      </w:hyperlink>
      <w:r w:rsidRPr="004101B2">
        <w:t>。</w:t>
      </w:r>
    </w:p>
  </w:endnote>
  <w:endnote w:id="56">
    <w:p w:rsidR="002A36C3" w:rsidRPr="004101B2" w:rsidRDefault="002A36C3" w:rsidP="004101B2">
      <w:r w:rsidRPr="004101B2">
        <w:endnoteRef/>
      </w:r>
      <w:r w:rsidRPr="004101B2">
        <w:rPr>
          <w:rFonts w:hint="eastAsia"/>
        </w:rPr>
        <w:t xml:space="preserve"> 林小安：《殷王卜辭傅說考芻議》，《古文字研究》第29輯，中華書局，2012年10月。</w:t>
      </w:r>
    </w:p>
  </w:endnote>
  <w:endnote w:id="57">
    <w:p w:rsidR="002A36C3" w:rsidRPr="004101B2" w:rsidRDefault="002A36C3" w:rsidP="004101B2">
      <w:r w:rsidRPr="004101B2">
        <w:endnoteRef/>
      </w:r>
      <w:r w:rsidRPr="004101B2">
        <w:rPr>
          <w:rFonts w:hint="eastAsia"/>
        </w:rPr>
        <w:t xml:space="preserve"> 荆門市博物館編：《郭店楚墓竹簡》，文物出版社，1998年5月，第27、145頁。</w:t>
      </w:r>
    </w:p>
  </w:endnote>
  <w:endnote w:id="58">
    <w:p w:rsidR="002A36C3" w:rsidRPr="004101B2" w:rsidRDefault="002A36C3" w:rsidP="004101B2">
      <w:r w:rsidRPr="004101B2">
        <w:endnoteRef/>
      </w:r>
      <w:r w:rsidRPr="004101B2">
        <w:rPr>
          <w:rFonts w:hint="eastAsia"/>
        </w:rPr>
        <w:t xml:space="preserve"> 黃德寬、徐在國：《郭店楚簡文字考釋》，《吉林大學古籍整理研究所建所十五週年紀念文集》，吉林大學出版社，1998年12月。黃、徐兩先生認爲“卲”字隸定有誤，應爲“叴”，讀爲“咎”，“咎繇”即“皋陶”，乃“傅說”之誤，系抄書者誤寫。</w:t>
      </w:r>
    </w:p>
  </w:endnote>
  <w:endnote w:id="59">
    <w:p w:rsidR="002A36C3" w:rsidRPr="004101B2" w:rsidRDefault="002A36C3" w:rsidP="004101B2">
      <w:r w:rsidRPr="004101B2">
        <w:endnoteRef/>
      </w:r>
      <w:r w:rsidRPr="004101B2">
        <w:rPr>
          <w:rFonts w:hint="eastAsia"/>
        </w:rPr>
        <w:t xml:space="preserve"> 魏宜輝、周言：《讀〈郭店楚墓竹簡〉札記》，《古文字研究》第22輯，中華書局，2000年7月。魏、周兩先生同意上述“卲繇”即“皋陶”之說，但認爲“卲”字隸定不誤，“卲”與“皋”亦音近可通，“傅說”的經歷出現在“皋陶”名下，是因爲兩者之間有脫簡。</w:t>
      </w:r>
    </w:p>
  </w:endnote>
  <w:endnote w:id="60">
    <w:p w:rsidR="002A36C3" w:rsidRPr="004101B2" w:rsidRDefault="002A36C3" w:rsidP="004101B2">
      <w:r w:rsidRPr="004101B2">
        <w:endnoteRef/>
      </w:r>
      <w:r w:rsidRPr="004101B2">
        <w:rPr>
          <w:rFonts w:hint="eastAsia"/>
        </w:rPr>
        <w:t xml:space="preserve"> </w:t>
      </w:r>
      <w:r w:rsidRPr="004101B2">
        <w:t>[</w:t>
      </w:r>
      <w:r w:rsidRPr="004101B2">
        <w:rPr>
          <w:rFonts w:hint="eastAsia"/>
        </w:rPr>
        <w:t>清</w:t>
      </w:r>
      <w:r w:rsidRPr="004101B2">
        <w:t>]</w:t>
      </w:r>
      <w:r w:rsidRPr="004101B2">
        <w:rPr>
          <w:rFonts w:hint="eastAsia"/>
        </w:rPr>
        <w:t>阮元校刻：《十三經注疏》，中華書局，</w:t>
      </w:r>
      <w:r w:rsidRPr="004101B2">
        <w:t>1980</w:t>
      </w:r>
      <w:r w:rsidRPr="004101B2">
        <w:rPr>
          <w:rFonts w:hint="eastAsia"/>
        </w:rPr>
        <w:t>年</w:t>
      </w:r>
      <w:r w:rsidRPr="004101B2">
        <w:t>10</w:t>
      </w:r>
      <w:r w:rsidRPr="004101B2">
        <w:rPr>
          <w:rFonts w:hint="eastAsia"/>
        </w:rPr>
        <w:t>月，第</w:t>
      </w:r>
      <w:r w:rsidRPr="004101B2">
        <w:t>174</w:t>
      </w:r>
      <w:r w:rsidRPr="004101B2">
        <w:rPr>
          <w:rFonts w:hint="eastAsia"/>
        </w:rPr>
        <w:t>頁。</w:t>
      </w:r>
    </w:p>
  </w:endnote>
  <w:endnote w:id="61">
    <w:p w:rsidR="002A36C3" w:rsidRPr="004101B2" w:rsidRDefault="002A36C3" w:rsidP="004101B2">
      <w:r w:rsidRPr="004101B2">
        <w:endnoteRef/>
      </w:r>
      <w:r w:rsidRPr="004101B2">
        <w:rPr>
          <w:rFonts w:hint="eastAsia"/>
        </w:rPr>
        <w:t xml:space="preserve"> 胡敕瑞：《讀〈清華大學藏戰國竹簡（叁）〉札記之一》，清華大學出土文獻研究與保護中心網站論文，2013年1月5日，</w:t>
      </w:r>
      <w:hyperlink r:id="rId4" w:history="1">
        <w:r w:rsidRPr="004101B2">
          <w:rPr>
            <w:rStyle w:val="af2"/>
          </w:rPr>
          <w:t>http://www.ctwx.tsinghua.edu.cn/publish/cetrp/6831/2013/20130105154822816925198/20130105154822816925198_.html</w:t>
        </w:r>
      </w:hyperlink>
      <w:r w:rsidRPr="004101B2">
        <w:t>。</w:t>
      </w:r>
    </w:p>
  </w:endnote>
  <w:endnote w:id="62">
    <w:p w:rsidR="002A36C3" w:rsidRPr="004101B2" w:rsidRDefault="002A36C3" w:rsidP="004101B2">
      <w:r w:rsidRPr="004101B2">
        <w:endnoteRef/>
      </w:r>
      <w:r w:rsidRPr="004101B2">
        <w:rPr>
          <w:rFonts w:hint="eastAsia"/>
        </w:rPr>
        <w:t xml:space="preserve"> 虞萬里：《清華簡〈說命〉“鵑肩女惟”疏解》，《文史哲》2015年第1期。</w:t>
      </w:r>
    </w:p>
  </w:endnote>
  <w:endnote w:id="63">
    <w:p w:rsidR="002A36C3" w:rsidRPr="004101B2" w:rsidRDefault="002A36C3" w:rsidP="004101B2">
      <w:r w:rsidRPr="004101B2">
        <w:endnoteRef/>
      </w:r>
      <w:r w:rsidRPr="004101B2">
        <w:rPr>
          <w:rFonts w:hint="eastAsia"/>
        </w:rPr>
        <w:t xml:space="preserve"> 王輝：《傅說之名再考辨——兼論“鳶”字及其他》，《文史哲》2016年第4期。</w:t>
      </w:r>
    </w:p>
  </w:endnote>
  <w:endnote w:id="64">
    <w:p w:rsidR="002A36C3" w:rsidRPr="004101B2" w:rsidRDefault="002A36C3" w:rsidP="004101B2">
      <w:r w:rsidRPr="004101B2">
        <w:endnoteRef/>
      </w:r>
      <w:r w:rsidRPr="004101B2">
        <w:rPr>
          <w:rFonts w:hint="eastAsia"/>
        </w:rPr>
        <w:t xml:space="preserve"> 張卉：《卜辭中的“雀”與文獻中的“傅說”》，《中原文物》2017年第3期。</w:t>
      </w:r>
    </w:p>
  </w:endnote>
  <w:endnote w:id="65">
    <w:p w:rsidR="002A36C3" w:rsidRPr="004101B2" w:rsidRDefault="002A36C3" w:rsidP="004101B2">
      <w:r w:rsidRPr="004101B2">
        <w:endnoteRef/>
      </w:r>
      <w:r w:rsidRPr="004101B2">
        <w:rPr>
          <w:rFonts w:hint="eastAsia"/>
        </w:rPr>
        <w:t xml:space="preserve"> 于省吾主編：《甲骨文字詁林》第一冊，中華書局，1996年5月，第84頁姚孝遂按語。</w:t>
      </w:r>
    </w:p>
  </w:endnote>
  <w:endnote w:id="66">
    <w:p w:rsidR="002A36C3" w:rsidRPr="004101B2" w:rsidRDefault="002A36C3" w:rsidP="004101B2">
      <w:r w:rsidRPr="004101B2">
        <w:endnoteRef/>
      </w:r>
      <w:r w:rsidRPr="004101B2">
        <w:rPr>
          <w:rFonts w:hint="eastAsia"/>
        </w:rPr>
        <w:t xml:space="preserve"> </w:t>
      </w:r>
      <w:r w:rsidRPr="004101B2">
        <w:t>[</w:t>
      </w:r>
      <w:r w:rsidRPr="004101B2">
        <w:rPr>
          <w:rFonts w:hint="eastAsia"/>
        </w:rPr>
        <w:t>清</w:t>
      </w:r>
      <w:r w:rsidRPr="004101B2">
        <w:t>]</w:t>
      </w:r>
      <w:r w:rsidRPr="004101B2">
        <w:rPr>
          <w:rFonts w:hint="eastAsia"/>
        </w:rPr>
        <w:t>阮元校刻：《十三經注疏》，中華書局，</w:t>
      </w:r>
      <w:r w:rsidRPr="004101B2">
        <w:t>1980</w:t>
      </w:r>
      <w:r w:rsidRPr="004101B2">
        <w:rPr>
          <w:rFonts w:hint="eastAsia"/>
        </w:rPr>
        <w:t>年</w:t>
      </w:r>
      <w:r w:rsidRPr="004101B2">
        <w:t>10</w:t>
      </w:r>
      <w:r w:rsidRPr="004101B2">
        <w:rPr>
          <w:rFonts w:hint="eastAsia"/>
        </w:rPr>
        <w:t>月，第1143頁。</w:t>
      </w:r>
    </w:p>
  </w:endnote>
  <w:endnote w:id="67">
    <w:p w:rsidR="002A36C3" w:rsidRPr="004101B2" w:rsidRDefault="002A36C3" w:rsidP="004101B2">
      <w:r w:rsidRPr="004101B2">
        <w:endnoteRef/>
      </w:r>
      <w:r w:rsidRPr="004101B2">
        <w:rPr>
          <w:rFonts w:hint="eastAsia"/>
        </w:rPr>
        <w:t xml:space="preserve"> 王力：《同源字論》，見《同源字典》，商務印書館，1982年10月，第3、5頁。</w:t>
      </w:r>
    </w:p>
  </w:endnote>
  <w:endnote w:id="68">
    <w:p w:rsidR="002A36C3" w:rsidRPr="004101B2" w:rsidRDefault="002A36C3" w:rsidP="004101B2">
      <w:r w:rsidRPr="004101B2">
        <w:endnoteRef/>
      </w:r>
      <w:r w:rsidRPr="004101B2">
        <w:rPr>
          <w:rFonts w:hint="eastAsia"/>
        </w:rPr>
        <w:t xml:space="preserve"> 蔣禮鴻：《讀〈同源字論〉後記》，見《懷任齋文集》，《蔣禮鴻集》第四卷，浙江教育出版社，2001年8月，第91頁。</w:t>
      </w:r>
    </w:p>
  </w:endnote>
  <w:endnote w:id="69">
    <w:p w:rsidR="002A36C3" w:rsidRPr="004101B2" w:rsidRDefault="002A36C3" w:rsidP="004101B2">
      <w:r w:rsidRPr="004101B2">
        <w:endnoteRef/>
      </w:r>
      <w:r w:rsidRPr="004101B2">
        <w:rPr>
          <w:rFonts w:hint="eastAsia"/>
        </w:rPr>
        <w:t xml:space="preserve"> 張覺：《論通假與同源之關係》，《語言研究》1988年第2期。</w:t>
      </w:r>
    </w:p>
  </w:endnote>
  <w:endnote w:id="70">
    <w:p w:rsidR="002A36C3" w:rsidRPr="004101B2" w:rsidRDefault="002A36C3" w:rsidP="004101B2">
      <w:r w:rsidRPr="004101B2">
        <w:endnoteRef/>
      </w:r>
      <w:r w:rsidRPr="004101B2">
        <w:rPr>
          <w:rFonts w:hint="eastAsia"/>
        </w:rPr>
        <w:t xml:space="preserve"> 邵文利：《試論同源字——兼論〈同源字典〉的收字問題》，《内蒙古民族師院學報（社會科學漢文版）》1989年第2期。</w:t>
      </w:r>
    </w:p>
  </w:endnote>
  <w:endnote w:id="71">
    <w:p w:rsidR="002A36C3" w:rsidRPr="004101B2" w:rsidRDefault="002A36C3" w:rsidP="004101B2">
      <w:r w:rsidRPr="004101B2">
        <w:endnoteRef/>
      </w:r>
      <w:r w:rsidRPr="004101B2">
        <w:rPr>
          <w:rFonts w:hint="eastAsia"/>
        </w:rPr>
        <w:t xml:space="preserve"> 王蘊智：《同源字、同源詞說辨》，《古漢語研究》1993年第2期。</w:t>
      </w:r>
    </w:p>
  </w:endnote>
  <w:endnote w:id="72">
    <w:p w:rsidR="002A36C3" w:rsidRPr="004101B2" w:rsidRDefault="002A36C3" w:rsidP="004101B2">
      <w:r w:rsidRPr="004101B2">
        <w:endnoteRef/>
      </w:r>
      <w:r w:rsidRPr="004101B2">
        <w:rPr>
          <w:rFonts w:hint="eastAsia"/>
        </w:rPr>
        <w:t xml:space="preserve"> 陸宗達、王寧：《訓詁方法論》，中國社會科學出版社，1983年12月，第183頁；王寧：《訓詁學原理》，中國國際廣播出版社，1996年8月，第51頁。</w:t>
      </w:r>
    </w:p>
  </w:endnote>
  <w:endnote w:id="73">
    <w:p w:rsidR="002A36C3" w:rsidRPr="004101B2" w:rsidRDefault="002A36C3" w:rsidP="004101B2">
      <w:r w:rsidRPr="004101B2">
        <w:endnoteRef/>
      </w:r>
      <w:r w:rsidRPr="004101B2">
        <w:rPr>
          <w:rFonts w:hint="eastAsia"/>
        </w:rPr>
        <w:t xml:space="preserve"> “同源通用”和“同音借用”見陸宗達、王寧：《訓詁方法論》，中國社會科學出版社，1983年12月，第56、58、184頁。“同源通用”是指“新字尚未被完全習用的過渡階段”的現象，這不同於邵文利先生所說的主觀上借音時客觀上無意中用了同源字的現象。</w:t>
      </w:r>
    </w:p>
  </w:endnote>
  <w:endnote w:id="74">
    <w:p w:rsidR="002A36C3" w:rsidRPr="004101B2" w:rsidRDefault="002A36C3" w:rsidP="004101B2">
      <w:r w:rsidRPr="004101B2">
        <w:endnoteRef/>
      </w:r>
      <w:r w:rsidRPr="004101B2">
        <w:rPr>
          <w:rFonts w:hint="eastAsia"/>
        </w:rPr>
        <w:t xml:space="preserve"> 閻若璩對《古文尚書》作者的評價是“學誠博，智誠狡”，見[清]阎若璩：《尚书古文疏证》第一百十九，上海古籍出版社，1987年12月，下冊第1171頁。</w:t>
      </w:r>
    </w:p>
  </w:endnote>
  <w:endnote w:id="75">
    <w:p w:rsidR="002A36C3" w:rsidRPr="004101B2" w:rsidRDefault="002A36C3" w:rsidP="004101B2">
      <w:r w:rsidRPr="004101B2">
        <w:endnoteRef/>
      </w:r>
      <w:r w:rsidRPr="004101B2">
        <w:rPr>
          <w:rFonts w:hint="eastAsia"/>
        </w:rPr>
        <w:t xml:space="preserve"> [清]畢沅校注：《墨子》，清乾隆甲辰年（1784年）靈巖山館本，卷二第六頁；卷二第十一頁；卷三第六頁。</w:t>
      </w:r>
    </w:p>
  </w:endnote>
  <w:endnote w:id="76">
    <w:p w:rsidR="002A36C3" w:rsidRPr="004101B2" w:rsidRDefault="002A36C3" w:rsidP="004101B2">
      <w:r w:rsidRPr="004101B2">
        <w:endnoteRef/>
      </w:r>
      <w:r w:rsidRPr="004101B2">
        <w:rPr>
          <w:rFonts w:hint="eastAsia"/>
        </w:rPr>
        <w:t xml:space="preserve"> [清]孫詒讓撰、孫啟治點校：《墨子閒詁》，中華書局，2001年4月，第56、70、85頁。</w:t>
      </w:r>
    </w:p>
  </w:endnote>
  <w:endnote w:id="77">
    <w:p w:rsidR="002A36C3" w:rsidRPr="004101B2" w:rsidRDefault="002A36C3" w:rsidP="004101B2">
      <w:r w:rsidRPr="004101B2">
        <w:endnoteRef/>
      </w:r>
      <w:r w:rsidRPr="004101B2">
        <w:rPr>
          <w:rFonts w:hint="eastAsia"/>
        </w:rPr>
        <w:t xml:space="preserve"> 吳汝綸、王景羲說見王煥鑣：《墨子集詁》，上海古籍出版社，2005年4月，第161頁；吳汝綸說另見吳毓江撰、孫啟治點校：《墨子校注》，中華書局，1993年10月，第131頁。</w:t>
      </w:r>
    </w:p>
  </w:endnote>
  <w:endnote w:id="78">
    <w:p w:rsidR="002A36C3" w:rsidRPr="004101B2" w:rsidRDefault="002A36C3" w:rsidP="004101B2">
      <w:r w:rsidRPr="004101B2">
        <w:endnoteRef/>
      </w:r>
      <w:r w:rsidRPr="004101B2">
        <w:rPr>
          <w:rFonts w:hint="eastAsia"/>
        </w:rPr>
        <w:t xml:space="preserve"> 羅根澤：《由〈墨子〉引經推測儒墨兩家與經書之關係》，見《古史辨》第四冊，上海古籍出版社，1982年8月，第285頁。</w:t>
      </w:r>
    </w:p>
  </w:endnote>
  <w:endnote w:id="79">
    <w:p w:rsidR="002A36C3" w:rsidRPr="004101B2" w:rsidRDefault="002A36C3" w:rsidP="004101B2">
      <w:r w:rsidRPr="004101B2">
        <w:endnoteRef/>
      </w:r>
      <w:r w:rsidRPr="004101B2">
        <w:rPr>
          <w:rFonts w:hint="eastAsia"/>
        </w:rPr>
        <w:t xml:space="preserve"> 李漁叔：《墨子今註今譯》，臺灣商務印書館，1979年3月，第54頁、第66-67頁、第85頁。</w:t>
      </w:r>
    </w:p>
  </w:endnote>
  <w:endnote w:id="80">
    <w:p w:rsidR="002A36C3" w:rsidRPr="004101B2" w:rsidRDefault="002A36C3" w:rsidP="004101B2">
      <w:r w:rsidRPr="004101B2">
        <w:endnoteRef/>
      </w:r>
      <w:r w:rsidRPr="004101B2">
        <w:rPr>
          <w:rFonts w:hint="eastAsia"/>
        </w:rPr>
        <w:t xml:space="preserve"> 王煥鑣：《墨子集詁》，上海古籍出版社，2005年4月，第161頁。</w:t>
      </w:r>
    </w:p>
  </w:endnote>
  <w:endnote w:id="81">
    <w:p w:rsidR="002A36C3" w:rsidRPr="004101B2" w:rsidRDefault="002A36C3" w:rsidP="004101B2">
      <w:r w:rsidRPr="004101B2">
        <w:endnoteRef/>
      </w:r>
      <w:r w:rsidRPr="004101B2">
        <w:rPr>
          <w:rFonts w:hint="eastAsia"/>
        </w:rPr>
        <w:t xml:space="preserve"> 羅根澤：《由〈墨子〉引經推測儒墨兩家與經書之關係》，見《古史辨》第四冊，上海古籍出版社，1982年8月，第285頁。</w:t>
      </w:r>
    </w:p>
  </w:endnote>
  <w:endnote w:id="82">
    <w:p w:rsidR="002A36C3" w:rsidRPr="004101B2" w:rsidRDefault="002A36C3" w:rsidP="004101B2">
      <w:r w:rsidRPr="004101B2">
        <w:endnoteRef/>
      </w:r>
      <w:r w:rsidRPr="004101B2">
        <w:rPr>
          <w:rFonts w:hint="eastAsia"/>
        </w:rPr>
        <w:t xml:space="preserve"> 陸宗達、王寧：《訓詁方法論》，中國社會科學出版社，1983年12月，第188頁。</w:t>
      </w:r>
    </w:p>
  </w:endnote>
  <w:endnote w:id="83">
    <w:p w:rsidR="002A36C3" w:rsidRPr="004101B2" w:rsidRDefault="002A36C3" w:rsidP="004101B2">
      <w:r w:rsidRPr="004101B2">
        <w:endnoteRef/>
      </w:r>
      <w:r w:rsidRPr="004101B2">
        <w:rPr>
          <w:rFonts w:hint="eastAsia"/>
        </w:rPr>
        <w:t xml:space="preserve"> 郭芹納：《訓詁學》，高等教育出版社，2005年2月，第174頁。</w:t>
      </w:r>
    </w:p>
  </w:endnote>
  <w:endnote w:id="84">
    <w:p w:rsidR="002A36C3" w:rsidRPr="004101B2" w:rsidRDefault="002A36C3" w:rsidP="004101B2">
      <w:r w:rsidRPr="004101B2">
        <w:endnoteRef/>
      </w:r>
      <w:r w:rsidRPr="004101B2">
        <w:rPr>
          <w:rFonts w:hint="eastAsia"/>
        </w:rPr>
        <w:t xml:space="preserve"> 王寧：《訓詁學原理》，中國國際廣播出版社，1996年8月，第83頁。</w:t>
      </w:r>
    </w:p>
  </w:endnote>
  <w:endnote w:id="85">
    <w:p w:rsidR="002A36C3" w:rsidRPr="0071109F" w:rsidRDefault="002A36C3" w:rsidP="004101B2">
      <w:pPr>
        <w:rPr>
          <w:rFonts w:asciiTheme="majorHAnsi" w:hAnsiTheme="majorHAnsi"/>
        </w:rPr>
      </w:pPr>
      <w:r w:rsidRPr="004101B2">
        <w:endnoteRef/>
      </w:r>
      <w:r w:rsidRPr="004101B2">
        <w:rPr>
          <w:rFonts w:hint="eastAsia"/>
        </w:rPr>
        <w:t xml:space="preserve"> 子喬：《釋郭店簡〈成之聞之〉的“詚命”》，復旦大學出土文獻與古文字研究中心網站論文，2019年5月21日，</w:t>
      </w:r>
      <w:hyperlink r:id="rId5" w:history="1">
        <w:r w:rsidRPr="004101B2">
          <w:rPr>
            <w:rStyle w:val="af2"/>
          </w:rPr>
          <w:t>http://www.gwz.fudan.edu.cn/Web/Show/4429</w:t>
        </w:r>
      </w:hyperlink>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Yu Gothic"/>
    <w:charset w:val="80"/>
    <w:family w:val="auto"/>
    <w:pitch w:val="default"/>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宋体-方正超大字符集">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sidR="00E561B3">
      <w:rPr>
        <w:sz w:val="18"/>
        <w:szCs w:val="18"/>
      </w:rPr>
      <w:t>9</w:t>
    </w:r>
    <w:r w:rsidRPr="00C01B1F">
      <w:rPr>
        <w:rFonts w:hint="eastAsia"/>
        <w:sz w:val="18"/>
        <w:szCs w:val="18"/>
      </w:rPr>
      <w:t>年</w:t>
    </w:r>
    <w:r w:rsidR="00755810">
      <w:rPr>
        <w:sz w:val="18"/>
        <w:szCs w:val="18"/>
      </w:rPr>
      <w:t>6</w:t>
    </w:r>
    <w:r w:rsidRPr="00C01B1F">
      <w:rPr>
        <w:rFonts w:hint="eastAsia"/>
        <w:sz w:val="18"/>
        <w:szCs w:val="18"/>
      </w:rPr>
      <w:t>月</w:t>
    </w:r>
    <w:r w:rsidR="00755810">
      <w:rPr>
        <w:sz w:val="18"/>
        <w:szCs w:val="18"/>
      </w:rPr>
      <w:t>13</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sidR="00B53704">
      <w:rPr>
        <w:sz w:val="18"/>
        <w:szCs w:val="18"/>
      </w:rPr>
      <w:t>9</w:t>
    </w:r>
    <w:r w:rsidRPr="00C01B1F">
      <w:rPr>
        <w:rFonts w:hint="eastAsia"/>
        <w:sz w:val="18"/>
        <w:szCs w:val="18"/>
      </w:rPr>
      <w:t>年</w:t>
    </w:r>
    <w:r w:rsidR="00755810">
      <w:rPr>
        <w:sz w:val="18"/>
        <w:szCs w:val="18"/>
      </w:rPr>
      <w:t>6</w:t>
    </w:r>
    <w:r w:rsidRPr="00C01B1F">
      <w:rPr>
        <w:rFonts w:hint="eastAsia"/>
        <w:sz w:val="18"/>
        <w:szCs w:val="18"/>
      </w:rPr>
      <w:t>月</w:t>
    </w:r>
    <w:r w:rsidR="00755810">
      <w:rPr>
        <w:sz w:val="18"/>
        <w:szCs w:val="18"/>
      </w:rPr>
      <w:t>15</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140" w:rsidRDefault="00E21140" w:rsidP="00CB0024">
      <w:r>
        <w:separator/>
      </w:r>
    </w:p>
  </w:footnote>
  <w:footnote w:type="continuationSeparator" w:id="0">
    <w:p w:rsidR="00E21140" w:rsidRDefault="00E21140"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755810" w:rsidRPr="00973A1E" w:rsidRDefault="00BA1F2C" w:rsidP="00755810">
    <w:pPr>
      <w:pStyle w:val="af"/>
      <w:spacing w:before="240" w:after="240"/>
      <w:ind w:firstLine="436"/>
      <w:rPr>
        <w:rFonts w:hint="eastAsia"/>
      </w:rPr>
    </w:pPr>
    <w:r>
      <w:rPr>
        <w:rFonts w:hint="eastAsia"/>
      </w:rPr>
      <w:t>链接：</w:t>
    </w:r>
    <w:r w:rsidR="00775AF2" w:rsidRPr="00775AF2">
      <w:t>http://www.gwz.fudan.edu.cn/Web/Show/</w:t>
    </w:r>
    <w:r w:rsidR="00137B4B">
      <w:t>44</w:t>
    </w:r>
    <w:r w:rsidR="00755810">
      <w:t>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1" type="#_x0000_t75" style="width:42.75pt;height:50.25pt;visibility:visible" o:bullet="t">
        <v:imagedata r:id="rId1" o:title=""/>
      </v:shape>
    </w:pict>
  </w:numPicBullet>
  <w:numPicBullet w:numPicBulletId="1">
    <w:pict>
      <v:shape id="_x0000_i1282" type="#_x0000_t75" style="width:21.75pt;height:29.25pt" o:bullet="t">
        <v:imagedata r:id="rId2" o:title=""/>
        <o:lock v:ext="edit" aspectratio="f"/>
      </v:shape>
    </w:pict>
  </w:numPicBullet>
  <w:numPicBullet w:numPicBulletId="2">
    <w:pict>
      <v:shape id="_x0000_i1283" type="#_x0000_t75" style="width:29.25pt;height:36pt" o:bullet="t">
        <v:imagedata r:id="rId3" o:title="" gain="6.25" blacklevel="17694f"/>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DA05F31"/>
    <w:multiLevelType w:val="hybridMultilevel"/>
    <w:tmpl w:val="A3F0A088"/>
    <w:lvl w:ilvl="0" w:tplc="FC4EFCFC">
      <w:start w:val="1"/>
      <w:numFmt w:val="decimalEnclosedCircle"/>
      <w:lvlText w:val="%1"/>
      <w:lvlJc w:val="left"/>
      <w:pPr>
        <w:ind w:left="980" w:hanging="420"/>
      </w:pPr>
      <w:rPr>
        <w:rFonts w:cs="宋体" w:hint="default"/>
        <w:color w:val="00000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2B25773"/>
    <w:multiLevelType w:val="hybridMultilevel"/>
    <w:tmpl w:val="1C322744"/>
    <w:lvl w:ilvl="0" w:tplc="FC4EFCFC">
      <w:start w:val="1"/>
      <w:numFmt w:val="decimalEnclosedCircle"/>
      <w:lvlText w:val="%1"/>
      <w:lvlJc w:val="left"/>
      <w:pPr>
        <w:tabs>
          <w:tab w:val="num" w:pos="780"/>
        </w:tabs>
        <w:ind w:left="780" w:hanging="360"/>
      </w:pPr>
      <w:rPr>
        <w:rFonts w:cs="宋体"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681097A"/>
    <w:multiLevelType w:val="hybridMultilevel"/>
    <w:tmpl w:val="E72ADB1A"/>
    <w:lvl w:ilvl="0" w:tplc="4E3CAEF8">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616E74"/>
    <w:multiLevelType w:val="hybridMultilevel"/>
    <w:tmpl w:val="534607B6"/>
    <w:lvl w:ilvl="0" w:tplc="2298A422">
      <w:start w:val="3"/>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0"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7647316"/>
    <w:multiLevelType w:val="hybridMultilevel"/>
    <w:tmpl w:val="D6306650"/>
    <w:lvl w:ilvl="0" w:tplc="E2162264">
      <w:start w:val="4"/>
      <w:numFmt w:val="japaneseCounting"/>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3" w15:restartNumberingAfterBreak="0">
    <w:nsid w:val="2D375DE1"/>
    <w:multiLevelType w:val="hybridMultilevel"/>
    <w:tmpl w:val="ABAA1816"/>
    <w:lvl w:ilvl="0" w:tplc="5920717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5"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16D3A7D"/>
    <w:multiLevelType w:val="hybridMultilevel"/>
    <w:tmpl w:val="CC067CFE"/>
    <w:lvl w:ilvl="0" w:tplc="6400BEF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57FF1114"/>
    <w:multiLevelType w:val="hybridMultilevel"/>
    <w:tmpl w:val="AB9C0B64"/>
    <w:lvl w:ilvl="0" w:tplc="1BCCDCCA">
      <w:start w:val="4"/>
      <w:numFmt w:val="japaneseCounting"/>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0" w15:restartNumberingAfterBreak="0">
    <w:nsid w:val="5A707373"/>
    <w:multiLevelType w:val="singleLevel"/>
    <w:tmpl w:val="5A707373"/>
    <w:lvl w:ilvl="0">
      <w:start w:val="1"/>
      <w:numFmt w:val="chineseCounting"/>
      <w:suff w:val="nothing"/>
      <w:lvlText w:val="第%1，"/>
      <w:lvlJc w:val="left"/>
    </w:lvl>
  </w:abstractNum>
  <w:abstractNum w:abstractNumId="21" w15:restartNumberingAfterBreak="0">
    <w:nsid w:val="5D6B163F"/>
    <w:multiLevelType w:val="hybridMultilevel"/>
    <w:tmpl w:val="43326AB0"/>
    <w:lvl w:ilvl="0" w:tplc="50A07C4C">
      <w:start w:val="1"/>
      <w:numFmt w:val="bullet"/>
      <w:lvlText w:val=""/>
      <w:lvlPicBulletId w:val="2"/>
      <w:lvlJc w:val="left"/>
      <w:pPr>
        <w:tabs>
          <w:tab w:val="num" w:pos="420"/>
        </w:tabs>
        <w:ind w:left="420" w:firstLine="0"/>
      </w:pPr>
      <w:rPr>
        <w:rFonts w:ascii="Symbol" w:hAnsi="Symbol" w:hint="default"/>
      </w:rPr>
    </w:lvl>
    <w:lvl w:ilvl="1" w:tplc="05CA87D2" w:tentative="1">
      <w:start w:val="1"/>
      <w:numFmt w:val="bullet"/>
      <w:lvlText w:val=""/>
      <w:lvlJc w:val="left"/>
      <w:pPr>
        <w:tabs>
          <w:tab w:val="num" w:pos="840"/>
        </w:tabs>
        <w:ind w:left="840" w:firstLine="0"/>
      </w:pPr>
      <w:rPr>
        <w:rFonts w:ascii="Symbol" w:hAnsi="Symbol" w:hint="default"/>
      </w:rPr>
    </w:lvl>
    <w:lvl w:ilvl="2" w:tplc="0EBE127C" w:tentative="1">
      <w:start w:val="1"/>
      <w:numFmt w:val="bullet"/>
      <w:lvlText w:val=""/>
      <w:lvlJc w:val="left"/>
      <w:pPr>
        <w:tabs>
          <w:tab w:val="num" w:pos="1260"/>
        </w:tabs>
        <w:ind w:left="1260" w:firstLine="0"/>
      </w:pPr>
      <w:rPr>
        <w:rFonts w:ascii="Symbol" w:hAnsi="Symbol" w:hint="default"/>
      </w:rPr>
    </w:lvl>
    <w:lvl w:ilvl="3" w:tplc="6F2095C4" w:tentative="1">
      <w:start w:val="1"/>
      <w:numFmt w:val="bullet"/>
      <w:lvlText w:val=""/>
      <w:lvlJc w:val="left"/>
      <w:pPr>
        <w:tabs>
          <w:tab w:val="num" w:pos="1680"/>
        </w:tabs>
        <w:ind w:left="1680" w:firstLine="0"/>
      </w:pPr>
      <w:rPr>
        <w:rFonts w:ascii="Symbol" w:hAnsi="Symbol" w:hint="default"/>
      </w:rPr>
    </w:lvl>
    <w:lvl w:ilvl="4" w:tplc="005C1F0C" w:tentative="1">
      <w:start w:val="1"/>
      <w:numFmt w:val="bullet"/>
      <w:lvlText w:val=""/>
      <w:lvlJc w:val="left"/>
      <w:pPr>
        <w:tabs>
          <w:tab w:val="num" w:pos="2100"/>
        </w:tabs>
        <w:ind w:left="2100" w:firstLine="0"/>
      </w:pPr>
      <w:rPr>
        <w:rFonts w:ascii="Symbol" w:hAnsi="Symbol" w:hint="default"/>
      </w:rPr>
    </w:lvl>
    <w:lvl w:ilvl="5" w:tplc="7AB4D9A2" w:tentative="1">
      <w:start w:val="1"/>
      <w:numFmt w:val="bullet"/>
      <w:lvlText w:val=""/>
      <w:lvlJc w:val="left"/>
      <w:pPr>
        <w:tabs>
          <w:tab w:val="num" w:pos="2520"/>
        </w:tabs>
        <w:ind w:left="2520" w:firstLine="0"/>
      </w:pPr>
      <w:rPr>
        <w:rFonts w:ascii="Symbol" w:hAnsi="Symbol" w:hint="default"/>
      </w:rPr>
    </w:lvl>
    <w:lvl w:ilvl="6" w:tplc="B400DDF0" w:tentative="1">
      <w:start w:val="1"/>
      <w:numFmt w:val="bullet"/>
      <w:lvlText w:val=""/>
      <w:lvlJc w:val="left"/>
      <w:pPr>
        <w:tabs>
          <w:tab w:val="num" w:pos="2940"/>
        </w:tabs>
        <w:ind w:left="2940" w:firstLine="0"/>
      </w:pPr>
      <w:rPr>
        <w:rFonts w:ascii="Symbol" w:hAnsi="Symbol" w:hint="default"/>
      </w:rPr>
    </w:lvl>
    <w:lvl w:ilvl="7" w:tplc="FA4611A6" w:tentative="1">
      <w:start w:val="1"/>
      <w:numFmt w:val="bullet"/>
      <w:lvlText w:val=""/>
      <w:lvlJc w:val="left"/>
      <w:pPr>
        <w:tabs>
          <w:tab w:val="num" w:pos="3360"/>
        </w:tabs>
        <w:ind w:left="3360" w:firstLine="0"/>
      </w:pPr>
      <w:rPr>
        <w:rFonts w:ascii="Symbol" w:hAnsi="Symbol" w:hint="default"/>
      </w:rPr>
    </w:lvl>
    <w:lvl w:ilvl="8" w:tplc="4CBA0C00" w:tentative="1">
      <w:start w:val="1"/>
      <w:numFmt w:val="bullet"/>
      <w:lvlText w:val=""/>
      <w:lvlJc w:val="left"/>
      <w:pPr>
        <w:tabs>
          <w:tab w:val="num" w:pos="3780"/>
        </w:tabs>
        <w:ind w:left="3780" w:firstLine="0"/>
      </w:pPr>
      <w:rPr>
        <w:rFonts w:ascii="Symbol" w:hAnsi="Symbol" w:hint="default"/>
      </w:rPr>
    </w:lvl>
  </w:abstractNum>
  <w:abstractNum w:abstractNumId="22" w15:restartNumberingAfterBreak="0">
    <w:nsid w:val="61E71F1A"/>
    <w:multiLevelType w:val="hybridMultilevel"/>
    <w:tmpl w:val="038A2778"/>
    <w:lvl w:ilvl="0" w:tplc="3A5684E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6AC67A97"/>
    <w:multiLevelType w:val="hybridMultilevel"/>
    <w:tmpl w:val="87449FA0"/>
    <w:lvl w:ilvl="0" w:tplc="0B1C797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6B8D60DE"/>
    <w:multiLevelType w:val="hybridMultilevel"/>
    <w:tmpl w:val="09C4F11A"/>
    <w:lvl w:ilvl="0" w:tplc="EB06C44C">
      <w:start w:val="1"/>
      <w:numFmt w:val="decimal"/>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5" w15:restartNumberingAfterBreak="0">
    <w:nsid w:val="6C9F53B8"/>
    <w:multiLevelType w:val="hybridMultilevel"/>
    <w:tmpl w:val="8D709226"/>
    <w:lvl w:ilvl="0" w:tplc="872AC0F8">
      <w:start w:val="3"/>
      <w:numFmt w:val="japaneseCounting"/>
      <w:lvlText w:val="第%1節"/>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27" w15:restartNumberingAfterBreak="0">
    <w:nsid w:val="7FEB4065"/>
    <w:multiLevelType w:val="multilevel"/>
    <w:tmpl w:val="43326AB0"/>
    <w:lvl w:ilvl="0">
      <w:start w:val="1"/>
      <w:numFmt w:val="bullet"/>
      <w:lvlText w:val=""/>
      <w:lvlPicBulletId w:val="2"/>
      <w:lvlJc w:val="left"/>
      <w:pPr>
        <w:tabs>
          <w:tab w:val="num" w:pos="420"/>
        </w:tabs>
        <w:ind w:left="420" w:firstLine="0"/>
      </w:pPr>
      <w:rPr>
        <w:rFonts w:ascii="Symbol" w:hAnsi="Symbol" w:hint="default"/>
      </w:rPr>
    </w:lvl>
    <w:lvl w:ilvl="1">
      <w:start w:val="1"/>
      <w:numFmt w:val="bullet"/>
      <w:lvlText w:val=""/>
      <w:lvlJc w:val="left"/>
      <w:pPr>
        <w:tabs>
          <w:tab w:val="num" w:pos="840"/>
        </w:tabs>
        <w:ind w:left="840" w:firstLine="0"/>
      </w:pPr>
      <w:rPr>
        <w:rFonts w:ascii="Symbol" w:hAnsi="Symbol" w:hint="default"/>
      </w:rPr>
    </w:lvl>
    <w:lvl w:ilvl="2">
      <w:start w:val="1"/>
      <w:numFmt w:val="bullet"/>
      <w:lvlText w:val=""/>
      <w:lvlJc w:val="left"/>
      <w:pPr>
        <w:tabs>
          <w:tab w:val="num" w:pos="1260"/>
        </w:tabs>
        <w:ind w:left="1260" w:firstLine="0"/>
      </w:pPr>
      <w:rPr>
        <w:rFonts w:ascii="Symbol" w:hAnsi="Symbol" w:hint="default"/>
      </w:rPr>
    </w:lvl>
    <w:lvl w:ilvl="3">
      <w:start w:val="1"/>
      <w:numFmt w:val="bullet"/>
      <w:lvlText w:val=""/>
      <w:lvlJc w:val="left"/>
      <w:pPr>
        <w:tabs>
          <w:tab w:val="num" w:pos="1680"/>
        </w:tabs>
        <w:ind w:left="1680" w:firstLine="0"/>
      </w:pPr>
      <w:rPr>
        <w:rFonts w:ascii="Symbol" w:hAnsi="Symbol" w:hint="default"/>
      </w:rPr>
    </w:lvl>
    <w:lvl w:ilvl="4">
      <w:start w:val="1"/>
      <w:numFmt w:val="bullet"/>
      <w:lvlText w:val=""/>
      <w:lvlJc w:val="left"/>
      <w:pPr>
        <w:tabs>
          <w:tab w:val="num" w:pos="2100"/>
        </w:tabs>
        <w:ind w:left="2100" w:firstLine="0"/>
      </w:pPr>
      <w:rPr>
        <w:rFonts w:ascii="Symbol" w:hAnsi="Symbol" w:hint="default"/>
      </w:rPr>
    </w:lvl>
    <w:lvl w:ilvl="5">
      <w:start w:val="1"/>
      <w:numFmt w:val="bullet"/>
      <w:lvlText w:val=""/>
      <w:lvlJc w:val="left"/>
      <w:pPr>
        <w:tabs>
          <w:tab w:val="num" w:pos="2520"/>
        </w:tabs>
        <w:ind w:left="2520" w:firstLine="0"/>
      </w:pPr>
      <w:rPr>
        <w:rFonts w:ascii="Symbol" w:hAnsi="Symbol" w:hint="default"/>
      </w:rPr>
    </w:lvl>
    <w:lvl w:ilvl="6">
      <w:start w:val="1"/>
      <w:numFmt w:val="bullet"/>
      <w:lvlText w:val=""/>
      <w:lvlJc w:val="left"/>
      <w:pPr>
        <w:tabs>
          <w:tab w:val="num" w:pos="2940"/>
        </w:tabs>
        <w:ind w:left="2940" w:firstLine="0"/>
      </w:pPr>
      <w:rPr>
        <w:rFonts w:ascii="Symbol" w:hAnsi="Symbol" w:hint="default"/>
      </w:rPr>
    </w:lvl>
    <w:lvl w:ilvl="7">
      <w:start w:val="1"/>
      <w:numFmt w:val="bullet"/>
      <w:lvlText w:val=""/>
      <w:lvlJc w:val="left"/>
      <w:pPr>
        <w:tabs>
          <w:tab w:val="num" w:pos="3360"/>
        </w:tabs>
        <w:ind w:left="3360" w:firstLine="0"/>
      </w:pPr>
      <w:rPr>
        <w:rFonts w:ascii="Symbol" w:hAnsi="Symbol" w:hint="default"/>
      </w:rPr>
    </w:lvl>
    <w:lvl w:ilvl="8">
      <w:start w:val="1"/>
      <w:numFmt w:val="bullet"/>
      <w:lvlText w:val=""/>
      <w:lvlJc w:val="left"/>
      <w:pPr>
        <w:tabs>
          <w:tab w:val="num" w:pos="3780"/>
        </w:tabs>
        <w:ind w:left="3780" w:firstLine="0"/>
      </w:pPr>
      <w:rPr>
        <w:rFonts w:ascii="Symbol" w:hAnsi="Symbol" w:hint="default"/>
      </w:rPr>
    </w:lvl>
  </w:abstractNum>
  <w:num w:numId="1">
    <w:abstractNumId w:val="12"/>
  </w:num>
  <w:num w:numId="2">
    <w:abstractNumId w:val="26"/>
  </w:num>
  <w:num w:numId="3">
    <w:abstractNumId w:val="14"/>
  </w:num>
  <w:num w:numId="4">
    <w:abstractNumId w:val="19"/>
  </w:num>
  <w:num w:numId="5">
    <w:abstractNumId w:val="2"/>
  </w:num>
  <w:num w:numId="6">
    <w:abstractNumId w:val="20"/>
  </w:num>
  <w:num w:numId="7">
    <w:abstractNumId w:val="16"/>
  </w:num>
  <w:num w:numId="8">
    <w:abstractNumId w:val="1"/>
    <w:lvlOverride w:ilvl="0">
      <w:startOverride w:val="1"/>
    </w:lvlOverride>
  </w:num>
  <w:num w:numId="9">
    <w:abstractNumId w:val="0"/>
    <w:lvlOverride w:ilvl="0">
      <w:startOverride w:val="1"/>
    </w:lvlOverride>
  </w:num>
  <w:num w:numId="10">
    <w:abstractNumId w:val="10"/>
  </w:num>
  <w:num w:numId="11">
    <w:abstractNumId w:val="15"/>
  </w:num>
  <w:num w:numId="12">
    <w:abstractNumId w:val="5"/>
  </w:num>
  <w:num w:numId="13">
    <w:abstractNumId w:val="3"/>
  </w:num>
  <w:num w:numId="14">
    <w:abstractNumId w:val="4"/>
  </w:num>
  <w:num w:numId="15">
    <w:abstractNumId w:val="18"/>
  </w:num>
  <w:num w:numId="16">
    <w:abstractNumId w:val="11"/>
  </w:num>
  <w:num w:numId="17">
    <w:abstractNumId w:val="7"/>
  </w:num>
  <w:num w:numId="18">
    <w:abstractNumId w:val="23"/>
  </w:num>
  <w:num w:numId="19">
    <w:abstractNumId w:val="21"/>
  </w:num>
  <w:num w:numId="20">
    <w:abstractNumId w:val="27"/>
  </w:num>
  <w:num w:numId="21">
    <w:abstractNumId w:val="8"/>
  </w:num>
  <w:num w:numId="22">
    <w:abstractNumId w:val="22"/>
  </w:num>
  <w:num w:numId="23">
    <w:abstractNumId w:val="17"/>
  </w:num>
  <w:num w:numId="24">
    <w:abstractNumId w:val="25"/>
  </w:num>
  <w:num w:numId="25">
    <w:abstractNumId w:val="6"/>
  </w:num>
  <w:num w:numId="26">
    <w:abstractNumId w:val="13"/>
  </w:num>
  <w:num w:numId="27">
    <w:abstractNumId w:val="24"/>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295B"/>
    <w:rsid w:val="000038DD"/>
    <w:rsid w:val="00011970"/>
    <w:rsid w:val="0001325C"/>
    <w:rsid w:val="000133A5"/>
    <w:rsid w:val="00017F20"/>
    <w:rsid w:val="00021234"/>
    <w:rsid w:val="00022497"/>
    <w:rsid w:val="00026061"/>
    <w:rsid w:val="000269A2"/>
    <w:rsid w:val="00030B51"/>
    <w:rsid w:val="00031027"/>
    <w:rsid w:val="00032E60"/>
    <w:rsid w:val="00033997"/>
    <w:rsid w:val="00033F9D"/>
    <w:rsid w:val="00035922"/>
    <w:rsid w:val="00037D45"/>
    <w:rsid w:val="00041E3D"/>
    <w:rsid w:val="00043973"/>
    <w:rsid w:val="00050E7C"/>
    <w:rsid w:val="000536DC"/>
    <w:rsid w:val="00053792"/>
    <w:rsid w:val="0005632E"/>
    <w:rsid w:val="0006035E"/>
    <w:rsid w:val="000622A4"/>
    <w:rsid w:val="000626A6"/>
    <w:rsid w:val="00062FE9"/>
    <w:rsid w:val="0006648C"/>
    <w:rsid w:val="00072A08"/>
    <w:rsid w:val="00073508"/>
    <w:rsid w:val="000739AB"/>
    <w:rsid w:val="00076F82"/>
    <w:rsid w:val="00084150"/>
    <w:rsid w:val="000860FF"/>
    <w:rsid w:val="00090B10"/>
    <w:rsid w:val="00095847"/>
    <w:rsid w:val="000A4A8F"/>
    <w:rsid w:val="000A557E"/>
    <w:rsid w:val="000B02C6"/>
    <w:rsid w:val="000B07B1"/>
    <w:rsid w:val="000B2636"/>
    <w:rsid w:val="000B3534"/>
    <w:rsid w:val="000B3E82"/>
    <w:rsid w:val="000B4C47"/>
    <w:rsid w:val="000B7803"/>
    <w:rsid w:val="000C0A01"/>
    <w:rsid w:val="000C306D"/>
    <w:rsid w:val="000C3B8A"/>
    <w:rsid w:val="000C439A"/>
    <w:rsid w:val="000C4991"/>
    <w:rsid w:val="000C6DDF"/>
    <w:rsid w:val="000D0719"/>
    <w:rsid w:val="000D135F"/>
    <w:rsid w:val="000D13F8"/>
    <w:rsid w:val="000D2136"/>
    <w:rsid w:val="000D52D8"/>
    <w:rsid w:val="000D6B61"/>
    <w:rsid w:val="000E282B"/>
    <w:rsid w:val="000E2C87"/>
    <w:rsid w:val="000E3AF3"/>
    <w:rsid w:val="000E4237"/>
    <w:rsid w:val="000E738A"/>
    <w:rsid w:val="000E7C8B"/>
    <w:rsid w:val="000F28A8"/>
    <w:rsid w:val="000F4BED"/>
    <w:rsid w:val="00101798"/>
    <w:rsid w:val="00102E1C"/>
    <w:rsid w:val="00104E73"/>
    <w:rsid w:val="00110B5F"/>
    <w:rsid w:val="00111F5F"/>
    <w:rsid w:val="00120037"/>
    <w:rsid w:val="0012030A"/>
    <w:rsid w:val="00120F74"/>
    <w:rsid w:val="00131D4E"/>
    <w:rsid w:val="001332B7"/>
    <w:rsid w:val="001347BB"/>
    <w:rsid w:val="00137B4B"/>
    <w:rsid w:val="00140894"/>
    <w:rsid w:val="001433AC"/>
    <w:rsid w:val="00154987"/>
    <w:rsid w:val="00154CEE"/>
    <w:rsid w:val="00156D70"/>
    <w:rsid w:val="001641C2"/>
    <w:rsid w:val="00164583"/>
    <w:rsid w:val="00167A7A"/>
    <w:rsid w:val="001712CA"/>
    <w:rsid w:val="001801DC"/>
    <w:rsid w:val="00180668"/>
    <w:rsid w:val="00183F82"/>
    <w:rsid w:val="00184D5F"/>
    <w:rsid w:val="001876B0"/>
    <w:rsid w:val="0018778C"/>
    <w:rsid w:val="001938D1"/>
    <w:rsid w:val="00194702"/>
    <w:rsid w:val="001957D4"/>
    <w:rsid w:val="00195BA5"/>
    <w:rsid w:val="00196304"/>
    <w:rsid w:val="0019751F"/>
    <w:rsid w:val="001A02A8"/>
    <w:rsid w:val="001A19B2"/>
    <w:rsid w:val="001A46BB"/>
    <w:rsid w:val="001A4915"/>
    <w:rsid w:val="001A5188"/>
    <w:rsid w:val="001B293E"/>
    <w:rsid w:val="001B3E07"/>
    <w:rsid w:val="001B492F"/>
    <w:rsid w:val="001B682E"/>
    <w:rsid w:val="001B710F"/>
    <w:rsid w:val="001C0EEC"/>
    <w:rsid w:val="001C2B93"/>
    <w:rsid w:val="001C5F88"/>
    <w:rsid w:val="001D1713"/>
    <w:rsid w:val="001D1843"/>
    <w:rsid w:val="001D2B45"/>
    <w:rsid w:val="001D427D"/>
    <w:rsid w:val="001D4E56"/>
    <w:rsid w:val="001E6598"/>
    <w:rsid w:val="001F1BFC"/>
    <w:rsid w:val="001F3AAE"/>
    <w:rsid w:val="00211416"/>
    <w:rsid w:val="00216AB7"/>
    <w:rsid w:val="00220E0C"/>
    <w:rsid w:val="002211DE"/>
    <w:rsid w:val="002213A7"/>
    <w:rsid w:val="002215E5"/>
    <w:rsid w:val="00223E83"/>
    <w:rsid w:val="002275D2"/>
    <w:rsid w:val="00230ADF"/>
    <w:rsid w:val="00231125"/>
    <w:rsid w:val="002346A0"/>
    <w:rsid w:val="00237037"/>
    <w:rsid w:val="002372F1"/>
    <w:rsid w:val="00240D78"/>
    <w:rsid w:val="00240EAB"/>
    <w:rsid w:val="00243FD0"/>
    <w:rsid w:val="0024748E"/>
    <w:rsid w:val="0025043C"/>
    <w:rsid w:val="00253015"/>
    <w:rsid w:val="00271132"/>
    <w:rsid w:val="0027142D"/>
    <w:rsid w:val="002732E6"/>
    <w:rsid w:val="0027360F"/>
    <w:rsid w:val="0027743E"/>
    <w:rsid w:val="002819AA"/>
    <w:rsid w:val="0028213F"/>
    <w:rsid w:val="00283B4E"/>
    <w:rsid w:val="0028564F"/>
    <w:rsid w:val="00291D8E"/>
    <w:rsid w:val="00292887"/>
    <w:rsid w:val="00294FD3"/>
    <w:rsid w:val="002A0E2F"/>
    <w:rsid w:val="002A1D71"/>
    <w:rsid w:val="002A36C3"/>
    <w:rsid w:val="002A39B4"/>
    <w:rsid w:val="002A5820"/>
    <w:rsid w:val="002A6194"/>
    <w:rsid w:val="002B32DA"/>
    <w:rsid w:val="002C1E9D"/>
    <w:rsid w:val="002C4C02"/>
    <w:rsid w:val="002C50EA"/>
    <w:rsid w:val="002C668C"/>
    <w:rsid w:val="002C70BF"/>
    <w:rsid w:val="002C7445"/>
    <w:rsid w:val="002C7C9D"/>
    <w:rsid w:val="002D3B93"/>
    <w:rsid w:val="002D5CCD"/>
    <w:rsid w:val="002D74D8"/>
    <w:rsid w:val="002E2792"/>
    <w:rsid w:val="002E503F"/>
    <w:rsid w:val="002F1FE6"/>
    <w:rsid w:val="002F2D81"/>
    <w:rsid w:val="002F5B13"/>
    <w:rsid w:val="002F5E53"/>
    <w:rsid w:val="002F7440"/>
    <w:rsid w:val="00300BB1"/>
    <w:rsid w:val="003057AC"/>
    <w:rsid w:val="00311E98"/>
    <w:rsid w:val="00313A1D"/>
    <w:rsid w:val="0031705D"/>
    <w:rsid w:val="00317DBF"/>
    <w:rsid w:val="00317E80"/>
    <w:rsid w:val="00320F14"/>
    <w:rsid w:val="003236B4"/>
    <w:rsid w:val="00324A0C"/>
    <w:rsid w:val="003254FE"/>
    <w:rsid w:val="003306EF"/>
    <w:rsid w:val="00330794"/>
    <w:rsid w:val="00332D6A"/>
    <w:rsid w:val="00332FF4"/>
    <w:rsid w:val="00334313"/>
    <w:rsid w:val="0033589E"/>
    <w:rsid w:val="003367D1"/>
    <w:rsid w:val="003445F0"/>
    <w:rsid w:val="003516DF"/>
    <w:rsid w:val="003541B9"/>
    <w:rsid w:val="00355808"/>
    <w:rsid w:val="0036013B"/>
    <w:rsid w:val="003617A5"/>
    <w:rsid w:val="00362BA1"/>
    <w:rsid w:val="003637BF"/>
    <w:rsid w:val="003657B7"/>
    <w:rsid w:val="00365AA8"/>
    <w:rsid w:val="003722B9"/>
    <w:rsid w:val="00373178"/>
    <w:rsid w:val="0037498D"/>
    <w:rsid w:val="00375FA4"/>
    <w:rsid w:val="00376418"/>
    <w:rsid w:val="00377962"/>
    <w:rsid w:val="003804C5"/>
    <w:rsid w:val="00380E0F"/>
    <w:rsid w:val="00382F27"/>
    <w:rsid w:val="003914E2"/>
    <w:rsid w:val="00394082"/>
    <w:rsid w:val="00395D81"/>
    <w:rsid w:val="003A0D1A"/>
    <w:rsid w:val="003A4A31"/>
    <w:rsid w:val="003B0EDF"/>
    <w:rsid w:val="003C064B"/>
    <w:rsid w:val="003C12E0"/>
    <w:rsid w:val="003C1636"/>
    <w:rsid w:val="003C3289"/>
    <w:rsid w:val="003C3926"/>
    <w:rsid w:val="003C4800"/>
    <w:rsid w:val="003C4D06"/>
    <w:rsid w:val="003C57BB"/>
    <w:rsid w:val="003D46B8"/>
    <w:rsid w:val="003E1354"/>
    <w:rsid w:val="003E1502"/>
    <w:rsid w:val="003E1E5C"/>
    <w:rsid w:val="003E4E82"/>
    <w:rsid w:val="003E5FD9"/>
    <w:rsid w:val="003E7904"/>
    <w:rsid w:val="003F08C1"/>
    <w:rsid w:val="003F2D79"/>
    <w:rsid w:val="003F604F"/>
    <w:rsid w:val="00403C1D"/>
    <w:rsid w:val="0040573D"/>
    <w:rsid w:val="004062BF"/>
    <w:rsid w:val="004101B2"/>
    <w:rsid w:val="004127DD"/>
    <w:rsid w:val="00415D4D"/>
    <w:rsid w:val="00420CE9"/>
    <w:rsid w:val="00420F5E"/>
    <w:rsid w:val="00430178"/>
    <w:rsid w:val="0043067E"/>
    <w:rsid w:val="00430B93"/>
    <w:rsid w:val="00430CA7"/>
    <w:rsid w:val="00430F52"/>
    <w:rsid w:val="00431BEA"/>
    <w:rsid w:val="00440379"/>
    <w:rsid w:val="00440BE0"/>
    <w:rsid w:val="0044129F"/>
    <w:rsid w:val="00445B35"/>
    <w:rsid w:val="004555EF"/>
    <w:rsid w:val="00456FAD"/>
    <w:rsid w:val="00457700"/>
    <w:rsid w:val="00461B64"/>
    <w:rsid w:val="004628E8"/>
    <w:rsid w:val="004639FF"/>
    <w:rsid w:val="00466A1C"/>
    <w:rsid w:val="00471A3A"/>
    <w:rsid w:val="00471E95"/>
    <w:rsid w:val="004756A5"/>
    <w:rsid w:val="0048364F"/>
    <w:rsid w:val="004860A2"/>
    <w:rsid w:val="004918C3"/>
    <w:rsid w:val="004A00EE"/>
    <w:rsid w:val="004A0388"/>
    <w:rsid w:val="004A0E1C"/>
    <w:rsid w:val="004A1861"/>
    <w:rsid w:val="004A2C87"/>
    <w:rsid w:val="004A7E18"/>
    <w:rsid w:val="004B0674"/>
    <w:rsid w:val="004B0D90"/>
    <w:rsid w:val="004B12DE"/>
    <w:rsid w:val="004B405F"/>
    <w:rsid w:val="004B4723"/>
    <w:rsid w:val="004C537A"/>
    <w:rsid w:val="004C57C6"/>
    <w:rsid w:val="004C718E"/>
    <w:rsid w:val="004C725E"/>
    <w:rsid w:val="004D1FA3"/>
    <w:rsid w:val="004E0A07"/>
    <w:rsid w:val="004E226F"/>
    <w:rsid w:val="004E6E8E"/>
    <w:rsid w:val="004E7F3E"/>
    <w:rsid w:val="004F244C"/>
    <w:rsid w:val="004F24A6"/>
    <w:rsid w:val="004F62FC"/>
    <w:rsid w:val="00503A9E"/>
    <w:rsid w:val="00504B09"/>
    <w:rsid w:val="005051B7"/>
    <w:rsid w:val="0051092B"/>
    <w:rsid w:val="00513092"/>
    <w:rsid w:val="0051587D"/>
    <w:rsid w:val="00515C06"/>
    <w:rsid w:val="0051605E"/>
    <w:rsid w:val="005169A1"/>
    <w:rsid w:val="00517428"/>
    <w:rsid w:val="0052033E"/>
    <w:rsid w:val="005308E6"/>
    <w:rsid w:val="00531EA3"/>
    <w:rsid w:val="0053239B"/>
    <w:rsid w:val="0053295D"/>
    <w:rsid w:val="00536ECF"/>
    <w:rsid w:val="0053723F"/>
    <w:rsid w:val="00542D51"/>
    <w:rsid w:val="005444A2"/>
    <w:rsid w:val="00546876"/>
    <w:rsid w:val="005549F6"/>
    <w:rsid w:val="00560EBB"/>
    <w:rsid w:val="005614A0"/>
    <w:rsid w:val="00562694"/>
    <w:rsid w:val="00564069"/>
    <w:rsid w:val="00564F61"/>
    <w:rsid w:val="00565C6D"/>
    <w:rsid w:val="00567270"/>
    <w:rsid w:val="00570DB1"/>
    <w:rsid w:val="00570E9F"/>
    <w:rsid w:val="00570F96"/>
    <w:rsid w:val="0057512B"/>
    <w:rsid w:val="005755E3"/>
    <w:rsid w:val="005816FB"/>
    <w:rsid w:val="00584AEE"/>
    <w:rsid w:val="005858A7"/>
    <w:rsid w:val="00586B2B"/>
    <w:rsid w:val="005875DF"/>
    <w:rsid w:val="005935F3"/>
    <w:rsid w:val="00594347"/>
    <w:rsid w:val="0059464E"/>
    <w:rsid w:val="0059627F"/>
    <w:rsid w:val="005A295E"/>
    <w:rsid w:val="005A2D63"/>
    <w:rsid w:val="005A3011"/>
    <w:rsid w:val="005A419C"/>
    <w:rsid w:val="005B29BC"/>
    <w:rsid w:val="005B6240"/>
    <w:rsid w:val="005B69A6"/>
    <w:rsid w:val="005C08D9"/>
    <w:rsid w:val="005C1A21"/>
    <w:rsid w:val="005C1F1C"/>
    <w:rsid w:val="005C3F24"/>
    <w:rsid w:val="005C51B2"/>
    <w:rsid w:val="005C6548"/>
    <w:rsid w:val="005D1BD6"/>
    <w:rsid w:val="005D22B2"/>
    <w:rsid w:val="005D2F69"/>
    <w:rsid w:val="005D6688"/>
    <w:rsid w:val="005E2C50"/>
    <w:rsid w:val="005E695A"/>
    <w:rsid w:val="005E79F0"/>
    <w:rsid w:val="005F3E33"/>
    <w:rsid w:val="0060101E"/>
    <w:rsid w:val="00602939"/>
    <w:rsid w:val="006034F2"/>
    <w:rsid w:val="00610E9E"/>
    <w:rsid w:val="00611107"/>
    <w:rsid w:val="00613129"/>
    <w:rsid w:val="006166C7"/>
    <w:rsid w:val="00620A4F"/>
    <w:rsid w:val="00620F72"/>
    <w:rsid w:val="00623408"/>
    <w:rsid w:val="006245DA"/>
    <w:rsid w:val="0062642B"/>
    <w:rsid w:val="00627CB0"/>
    <w:rsid w:val="00630451"/>
    <w:rsid w:val="0063183B"/>
    <w:rsid w:val="0063231F"/>
    <w:rsid w:val="00633E68"/>
    <w:rsid w:val="00633EE4"/>
    <w:rsid w:val="00634446"/>
    <w:rsid w:val="00634CBD"/>
    <w:rsid w:val="00635CF4"/>
    <w:rsid w:val="00635FA4"/>
    <w:rsid w:val="00636ED8"/>
    <w:rsid w:val="006374B2"/>
    <w:rsid w:val="00640B39"/>
    <w:rsid w:val="00643651"/>
    <w:rsid w:val="00644D5B"/>
    <w:rsid w:val="00650E61"/>
    <w:rsid w:val="0065256A"/>
    <w:rsid w:val="00652D49"/>
    <w:rsid w:val="00654F46"/>
    <w:rsid w:val="00656716"/>
    <w:rsid w:val="00672EC8"/>
    <w:rsid w:val="00673C78"/>
    <w:rsid w:val="006778A0"/>
    <w:rsid w:val="00680D22"/>
    <w:rsid w:val="0068210E"/>
    <w:rsid w:val="00682D5D"/>
    <w:rsid w:val="00686575"/>
    <w:rsid w:val="00692D31"/>
    <w:rsid w:val="00693A5D"/>
    <w:rsid w:val="006A1B0D"/>
    <w:rsid w:val="006A3D5C"/>
    <w:rsid w:val="006A3F90"/>
    <w:rsid w:val="006B0F0D"/>
    <w:rsid w:val="006B1CF9"/>
    <w:rsid w:val="006B47EE"/>
    <w:rsid w:val="006B7475"/>
    <w:rsid w:val="006C41B9"/>
    <w:rsid w:val="006C6BAA"/>
    <w:rsid w:val="006D1E7B"/>
    <w:rsid w:val="006D3921"/>
    <w:rsid w:val="006D408B"/>
    <w:rsid w:val="006D6987"/>
    <w:rsid w:val="006D6A90"/>
    <w:rsid w:val="006E0E0C"/>
    <w:rsid w:val="006E2F87"/>
    <w:rsid w:val="006E6C5C"/>
    <w:rsid w:val="006E714C"/>
    <w:rsid w:val="006E760F"/>
    <w:rsid w:val="006E7B7B"/>
    <w:rsid w:val="006F043C"/>
    <w:rsid w:val="006F16C1"/>
    <w:rsid w:val="006F28BC"/>
    <w:rsid w:val="006F300C"/>
    <w:rsid w:val="006F52F5"/>
    <w:rsid w:val="006F79DD"/>
    <w:rsid w:val="007002F8"/>
    <w:rsid w:val="007017B8"/>
    <w:rsid w:val="007042AD"/>
    <w:rsid w:val="0070713C"/>
    <w:rsid w:val="007103F0"/>
    <w:rsid w:val="007126B9"/>
    <w:rsid w:val="00713580"/>
    <w:rsid w:val="007138A4"/>
    <w:rsid w:val="00715D6B"/>
    <w:rsid w:val="007166DE"/>
    <w:rsid w:val="00720454"/>
    <w:rsid w:val="007204C1"/>
    <w:rsid w:val="00724062"/>
    <w:rsid w:val="007317E0"/>
    <w:rsid w:val="0073487E"/>
    <w:rsid w:val="00736280"/>
    <w:rsid w:val="00740478"/>
    <w:rsid w:val="00740BC5"/>
    <w:rsid w:val="0074264D"/>
    <w:rsid w:val="00742DDD"/>
    <w:rsid w:val="007430E0"/>
    <w:rsid w:val="00744AFF"/>
    <w:rsid w:val="00751734"/>
    <w:rsid w:val="0075360F"/>
    <w:rsid w:val="00755810"/>
    <w:rsid w:val="0076174E"/>
    <w:rsid w:val="007625E0"/>
    <w:rsid w:val="00764092"/>
    <w:rsid w:val="007677FD"/>
    <w:rsid w:val="007708C6"/>
    <w:rsid w:val="00771D41"/>
    <w:rsid w:val="007721C4"/>
    <w:rsid w:val="0077379F"/>
    <w:rsid w:val="00773918"/>
    <w:rsid w:val="00775AF2"/>
    <w:rsid w:val="00775E19"/>
    <w:rsid w:val="007810E0"/>
    <w:rsid w:val="007914D5"/>
    <w:rsid w:val="007954EC"/>
    <w:rsid w:val="007A58BA"/>
    <w:rsid w:val="007B0257"/>
    <w:rsid w:val="007B1A80"/>
    <w:rsid w:val="007C4028"/>
    <w:rsid w:val="007C6D48"/>
    <w:rsid w:val="007C728A"/>
    <w:rsid w:val="007C7435"/>
    <w:rsid w:val="007D334F"/>
    <w:rsid w:val="007D5FCD"/>
    <w:rsid w:val="007D776B"/>
    <w:rsid w:val="007E556D"/>
    <w:rsid w:val="007E6F63"/>
    <w:rsid w:val="007F0E88"/>
    <w:rsid w:val="007F2D8B"/>
    <w:rsid w:val="007F348C"/>
    <w:rsid w:val="0080242C"/>
    <w:rsid w:val="00805018"/>
    <w:rsid w:val="008114A2"/>
    <w:rsid w:val="00813ADC"/>
    <w:rsid w:val="008145F2"/>
    <w:rsid w:val="0082062A"/>
    <w:rsid w:val="00822FAF"/>
    <w:rsid w:val="00823499"/>
    <w:rsid w:val="00827BEE"/>
    <w:rsid w:val="008316D6"/>
    <w:rsid w:val="00831C58"/>
    <w:rsid w:val="00831E6C"/>
    <w:rsid w:val="0083342E"/>
    <w:rsid w:val="008368CB"/>
    <w:rsid w:val="00841AC0"/>
    <w:rsid w:val="00844552"/>
    <w:rsid w:val="008462DC"/>
    <w:rsid w:val="0085243E"/>
    <w:rsid w:val="00852FB6"/>
    <w:rsid w:val="00852FD1"/>
    <w:rsid w:val="008554FB"/>
    <w:rsid w:val="0085758E"/>
    <w:rsid w:val="00857AC9"/>
    <w:rsid w:val="00865714"/>
    <w:rsid w:val="00866621"/>
    <w:rsid w:val="00866FD9"/>
    <w:rsid w:val="00874C87"/>
    <w:rsid w:val="00881594"/>
    <w:rsid w:val="008839BB"/>
    <w:rsid w:val="00883E9F"/>
    <w:rsid w:val="00884DD1"/>
    <w:rsid w:val="00886963"/>
    <w:rsid w:val="008875BA"/>
    <w:rsid w:val="00891185"/>
    <w:rsid w:val="0089710F"/>
    <w:rsid w:val="008971F8"/>
    <w:rsid w:val="008A3266"/>
    <w:rsid w:val="008A7F84"/>
    <w:rsid w:val="008B03DD"/>
    <w:rsid w:val="008B1838"/>
    <w:rsid w:val="008B201B"/>
    <w:rsid w:val="008B7DE7"/>
    <w:rsid w:val="008C0398"/>
    <w:rsid w:val="008C1BEA"/>
    <w:rsid w:val="008C4C09"/>
    <w:rsid w:val="008C4EF3"/>
    <w:rsid w:val="008C5A22"/>
    <w:rsid w:val="008C6FD3"/>
    <w:rsid w:val="008C7001"/>
    <w:rsid w:val="008C76B9"/>
    <w:rsid w:val="008C7A92"/>
    <w:rsid w:val="008D30E6"/>
    <w:rsid w:val="008D3B25"/>
    <w:rsid w:val="008D3F4A"/>
    <w:rsid w:val="008D63C5"/>
    <w:rsid w:val="008D7BDB"/>
    <w:rsid w:val="008E49CB"/>
    <w:rsid w:val="008E56EC"/>
    <w:rsid w:val="008E5D6E"/>
    <w:rsid w:val="008E6624"/>
    <w:rsid w:val="008E72B8"/>
    <w:rsid w:val="008F0739"/>
    <w:rsid w:val="008F4C76"/>
    <w:rsid w:val="008F65AF"/>
    <w:rsid w:val="00903942"/>
    <w:rsid w:val="00904443"/>
    <w:rsid w:val="00905A67"/>
    <w:rsid w:val="00905FB1"/>
    <w:rsid w:val="009064B9"/>
    <w:rsid w:val="009155F6"/>
    <w:rsid w:val="00916F6E"/>
    <w:rsid w:val="0091798A"/>
    <w:rsid w:val="00920906"/>
    <w:rsid w:val="00923D4F"/>
    <w:rsid w:val="009250E3"/>
    <w:rsid w:val="009263C8"/>
    <w:rsid w:val="00933EFE"/>
    <w:rsid w:val="00941801"/>
    <w:rsid w:val="00941B6B"/>
    <w:rsid w:val="009429E7"/>
    <w:rsid w:val="009477D9"/>
    <w:rsid w:val="00950E71"/>
    <w:rsid w:val="00951E3D"/>
    <w:rsid w:val="00954B56"/>
    <w:rsid w:val="00955088"/>
    <w:rsid w:val="009568AB"/>
    <w:rsid w:val="00962238"/>
    <w:rsid w:val="00962366"/>
    <w:rsid w:val="00962DFC"/>
    <w:rsid w:val="00964805"/>
    <w:rsid w:val="00970316"/>
    <w:rsid w:val="00970D12"/>
    <w:rsid w:val="0097125F"/>
    <w:rsid w:val="009717FA"/>
    <w:rsid w:val="00973A1E"/>
    <w:rsid w:val="0097687C"/>
    <w:rsid w:val="00977A96"/>
    <w:rsid w:val="00983BA3"/>
    <w:rsid w:val="00986333"/>
    <w:rsid w:val="0098705C"/>
    <w:rsid w:val="00987883"/>
    <w:rsid w:val="009911B7"/>
    <w:rsid w:val="00992297"/>
    <w:rsid w:val="00994CD0"/>
    <w:rsid w:val="00995DB3"/>
    <w:rsid w:val="009967BC"/>
    <w:rsid w:val="009A0FAD"/>
    <w:rsid w:val="009A1A76"/>
    <w:rsid w:val="009A569F"/>
    <w:rsid w:val="009A6198"/>
    <w:rsid w:val="009A75E4"/>
    <w:rsid w:val="009C4773"/>
    <w:rsid w:val="009C5916"/>
    <w:rsid w:val="009C7D0F"/>
    <w:rsid w:val="009D370A"/>
    <w:rsid w:val="009E12C0"/>
    <w:rsid w:val="009E1F4B"/>
    <w:rsid w:val="009E50C6"/>
    <w:rsid w:val="009E63D4"/>
    <w:rsid w:val="009F4D40"/>
    <w:rsid w:val="00A00A18"/>
    <w:rsid w:val="00A026E4"/>
    <w:rsid w:val="00A04D48"/>
    <w:rsid w:val="00A0577E"/>
    <w:rsid w:val="00A06EEC"/>
    <w:rsid w:val="00A072DD"/>
    <w:rsid w:val="00A11FE0"/>
    <w:rsid w:val="00A15A26"/>
    <w:rsid w:val="00A16D1C"/>
    <w:rsid w:val="00A24709"/>
    <w:rsid w:val="00A25981"/>
    <w:rsid w:val="00A303C4"/>
    <w:rsid w:val="00A31937"/>
    <w:rsid w:val="00A33350"/>
    <w:rsid w:val="00A35CE6"/>
    <w:rsid w:val="00A37E25"/>
    <w:rsid w:val="00A43B2B"/>
    <w:rsid w:val="00A4525C"/>
    <w:rsid w:val="00A521DD"/>
    <w:rsid w:val="00A52734"/>
    <w:rsid w:val="00A553B6"/>
    <w:rsid w:val="00A57F3F"/>
    <w:rsid w:val="00A60B6E"/>
    <w:rsid w:val="00A626FC"/>
    <w:rsid w:val="00A63856"/>
    <w:rsid w:val="00A64CC3"/>
    <w:rsid w:val="00A664EB"/>
    <w:rsid w:val="00A66742"/>
    <w:rsid w:val="00A710B2"/>
    <w:rsid w:val="00A71884"/>
    <w:rsid w:val="00A72999"/>
    <w:rsid w:val="00A73FD8"/>
    <w:rsid w:val="00A7444E"/>
    <w:rsid w:val="00A75AB8"/>
    <w:rsid w:val="00A76F1D"/>
    <w:rsid w:val="00A8129E"/>
    <w:rsid w:val="00A81CD9"/>
    <w:rsid w:val="00A84BF3"/>
    <w:rsid w:val="00A87B29"/>
    <w:rsid w:val="00AA2818"/>
    <w:rsid w:val="00AA4359"/>
    <w:rsid w:val="00AA543B"/>
    <w:rsid w:val="00AA5ACA"/>
    <w:rsid w:val="00AA6604"/>
    <w:rsid w:val="00AA7065"/>
    <w:rsid w:val="00AC4C6A"/>
    <w:rsid w:val="00AD0F5C"/>
    <w:rsid w:val="00AD2C41"/>
    <w:rsid w:val="00AD369B"/>
    <w:rsid w:val="00AD48AD"/>
    <w:rsid w:val="00AD7B0D"/>
    <w:rsid w:val="00AD7E86"/>
    <w:rsid w:val="00AE20DF"/>
    <w:rsid w:val="00AE29A7"/>
    <w:rsid w:val="00AE700C"/>
    <w:rsid w:val="00AF246E"/>
    <w:rsid w:val="00AF479D"/>
    <w:rsid w:val="00AF635B"/>
    <w:rsid w:val="00AF75C8"/>
    <w:rsid w:val="00B00EE9"/>
    <w:rsid w:val="00B017A6"/>
    <w:rsid w:val="00B017FB"/>
    <w:rsid w:val="00B030E6"/>
    <w:rsid w:val="00B059FD"/>
    <w:rsid w:val="00B07332"/>
    <w:rsid w:val="00B12A59"/>
    <w:rsid w:val="00B145D9"/>
    <w:rsid w:val="00B161FD"/>
    <w:rsid w:val="00B20E51"/>
    <w:rsid w:val="00B20F66"/>
    <w:rsid w:val="00B23528"/>
    <w:rsid w:val="00B27C68"/>
    <w:rsid w:val="00B31DEE"/>
    <w:rsid w:val="00B31E96"/>
    <w:rsid w:val="00B3377F"/>
    <w:rsid w:val="00B34DD8"/>
    <w:rsid w:val="00B43721"/>
    <w:rsid w:val="00B47060"/>
    <w:rsid w:val="00B47693"/>
    <w:rsid w:val="00B47761"/>
    <w:rsid w:val="00B47E6B"/>
    <w:rsid w:val="00B50CD0"/>
    <w:rsid w:val="00B53704"/>
    <w:rsid w:val="00B62593"/>
    <w:rsid w:val="00B63ADF"/>
    <w:rsid w:val="00B6543C"/>
    <w:rsid w:val="00B679F6"/>
    <w:rsid w:val="00B705BC"/>
    <w:rsid w:val="00B70B0A"/>
    <w:rsid w:val="00B7298C"/>
    <w:rsid w:val="00B73A04"/>
    <w:rsid w:val="00B75C45"/>
    <w:rsid w:val="00B760FD"/>
    <w:rsid w:val="00B8095D"/>
    <w:rsid w:val="00B82AEB"/>
    <w:rsid w:val="00B831B3"/>
    <w:rsid w:val="00B8604A"/>
    <w:rsid w:val="00B90E40"/>
    <w:rsid w:val="00B92CC7"/>
    <w:rsid w:val="00B92CE9"/>
    <w:rsid w:val="00BA0BE7"/>
    <w:rsid w:val="00BA1F2C"/>
    <w:rsid w:val="00BA32AD"/>
    <w:rsid w:val="00BA4375"/>
    <w:rsid w:val="00BA457C"/>
    <w:rsid w:val="00BA4771"/>
    <w:rsid w:val="00BA4E68"/>
    <w:rsid w:val="00BA5289"/>
    <w:rsid w:val="00BA6421"/>
    <w:rsid w:val="00BB017B"/>
    <w:rsid w:val="00BB47F6"/>
    <w:rsid w:val="00BB5AE3"/>
    <w:rsid w:val="00BB6F3D"/>
    <w:rsid w:val="00BC126B"/>
    <w:rsid w:val="00BC49BB"/>
    <w:rsid w:val="00BC6C16"/>
    <w:rsid w:val="00BD24B9"/>
    <w:rsid w:val="00BD4E67"/>
    <w:rsid w:val="00BD750D"/>
    <w:rsid w:val="00BE148F"/>
    <w:rsid w:val="00BE5AA8"/>
    <w:rsid w:val="00BF358E"/>
    <w:rsid w:val="00BF5273"/>
    <w:rsid w:val="00BF5F1D"/>
    <w:rsid w:val="00C00395"/>
    <w:rsid w:val="00C037A6"/>
    <w:rsid w:val="00C03F8A"/>
    <w:rsid w:val="00C049E6"/>
    <w:rsid w:val="00C200D7"/>
    <w:rsid w:val="00C217A0"/>
    <w:rsid w:val="00C22C99"/>
    <w:rsid w:val="00C24A2E"/>
    <w:rsid w:val="00C25CFC"/>
    <w:rsid w:val="00C30E07"/>
    <w:rsid w:val="00C36956"/>
    <w:rsid w:val="00C40577"/>
    <w:rsid w:val="00C405CB"/>
    <w:rsid w:val="00C410F4"/>
    <w:rsid w:val="00C43658"/>
    <w:rsid w:val="00C46047"/>
    <w:rsid w:val="00C52B1A"/>
    <w:rsid w:val="00C540E0"/>
    <w:rsid w:val="00C57C42"/>
    <w:rsid w:val="00C601E8"/>
    <w:rsid w:val="00C62C6C"/>
    <w:rsid w:val="00C634BC"/>
    <w:rsid w:val="00C639B5"/>
    <w:rsid w:val="00C673BD"/>
    <w:rsid w:val="00C67F92"/>
    <w:rsid w:val="00C712E1"/>
    <w:rsid w:val="00C72E17"/>
    <w:rsid w:val="00C7337F"/>
    <w:rsid w:val="00C75C1A"/>
    <w:rsid w:val="00C76646"/>
    <w:rsid w:val="00C86E98"/>
    <w:rsid w:val="00C90543"/>
    <w:rsid w:val="00C935B4"/>
    <w:rsid w:val="00C9386D"/>
    <w:rsid w:val="00C93EB8"/>
    <w:rsid w:val="00C9729E"/>
    <w:rsid w:val="00CA244F"/>
    <w:rsid w:val="00CA455C"/>
    <w:rsid w:val="00CA5852"/>
    <w:rsid w:val="00CA7F32"/>
    <w:rsid w:val="00CB0024"/>
    <w:rsid w:val="00CB2EE6"/>
    <w:rsid w:val="00CB3B65"/>
    <w:rsid w:val="00CB3ECE"/>
    <w:rsid w:val="00CB3F3F"/>
    <w:rsid w:val="00CC23B6"/>
    <w:rsid w:val="00CC33AB"/>
    <w:rsid w:val="00CC4E87"/>
    <w:rsid w:val="00CC6F6E"/>
    <w:rsid w:val="00CD08F0"/>
    <w:rsid w:val="00CD12D8"/>
    <w:rsid w:val="00CD3AD6"/>
    <w:rsid w:val="00CE194C"/>
    <w:rsid w:val="00CE1F09"/>
    <w:rsid w:val="00CE28C7"/>
    <w:rsid w:val="00CF2087"/>
    <w:rsid w:val="00CF2D53"/>
    <w:rsid w:val="00CF3432"/>
    <w:rsid w:val="00CF55D5"/>
    <w:rsid w:val="00CF736F"/>
    <w:rsid w:val="00D00583"/>
    <w:rsid w:val="00D05543"/>
    <w:rsid w:val="00D12835"/>
    <w:rsid w:val="00D14104"/>
    <w:rsid w:val="00D207C7"/>
    <w:rsid w:val="00D208AF"/>
    <w:rsid w:val="00D2482F"/>
    <w:rsid w:val="00D24914"/>
    <w:rsid w:val="00D326D7"/>
    <w:rsid w:val="00D40B52"/>
    <w:rsid w:val="00D54453"/>
    <w:rsid w:val="00D556BF"/>
    <w:rsid w:val="00D60699"/>
    <w:rsid w:val="00D60710"/>
    <w:rsid w:val="00D61798"/>
    <w:rsid w:val="00D61D99"/>
    <w:rsid w:val="00D62CB1"/>
    <w:rsid w:val="00D641C6"/>
    <w:rsid w:val="00D67634"/>
    <w:rsid w:val="00D707C1"/>
    <w:rsid w:val="00D71F81"/>
    <w:rsid w:val="00D726F9"/>
    <w:rsid w:val="00D73553"/>
    <w:rsid w:val="00D756A9"/>
    <w:rsid w:val="00D831B6"/>
    <w:rsid w:val="00D84579"/>
    <w:rsid w:val="00D859D5"/>
    <w:rsid w:val="00D85C5E"/>
    <w:rsid w:val="00D908E2"/>
    <w:rsid w:val="00D91E89"/>
    <w:rsid w:val="00D94761"/>
    <w:rsid w:val="00D94D4A"/>
    <w:rsid w:val="00DA17FB"/>
    <w:rsid w:val="00DA2027"/>
    <w:rsid w:val="00DA469D"/>
    <w:rsid w:val="00DB1A8E"/>
    <w:rsid w:val="00DB2818"/>
    <w:rsid w:val="00DB652D"/>
    <w:rsid w:val="00DC2A33"/>
    <w:rsid w:val="00DC2D9B"/>
    <w:rsid w:val="00DC5C27"/>
    <w:rsid w:val="00DC74C5"/>
    <w:rsid w:val="00DD0C90"/>
    <w:rsid w:val="00DD491C"/>
    <w:rsid w:val="00DE03E4"/>
    <w:rsid w:val="00DE1418"/>
    <w:rsid w:val="00DE20EE"/>
    <w:rsid w:val="00DE2591"/>
    <w:rsid w:val="00DE4754"/>
    <w:rsid w:val="00DE47CB"/>
    <w:rsid w:val="00DE5AD0"/>
    <w:rsid w:val="00DE6887"/>
    <w:rsid w:val="00DE6920"/>
    <w:rsid w:val="00DF05E9"/>
    <w:rsid w:val="00E00263"/>
    <w:rsid w:val="00E003D8"/>
    <w:rsid w:val="00E00E83"/>
    <w:rsid w:val="00E01E6C"/>
    <w:rsid w:val="00E03B22"/>
    <w:rsid w:val="00E0700B"/>
    <w:rsid w:val="00E1141C"/>
    <w:rsid w:val="00E1192A"/>
    <w:rsid w:val="00E12328"/>
    <w:rsid w:val="00E21140"/>
    <w:rsid w:val="00E2162E"/>
    <w:rsid w:val="00E24554"/>
    <w:rsid w:val="00E2799A"/>
    <w:rsid w:val="00E27BC2"/>
    <w:rsid w:val="00E330F9"/>
    <w:rsid w:val="00E3579F"/>
    <w:rsid w:val="00E37814"/>
    <w:rsid w:val="00E415C5"/>
    <w:rsid w:val="00E501E0"/>
    <w:rsid w:val="00E53B98"/>
    <w:rsid w:val="00E55FF0"/>
    <w:rsid w:val="00E561B3"/>
    <w:rsid w:val="00E57201"/>
    <w:rsid w:val="00E57AC3"/>
    <w:rsid w:val="00E6396D"/>
    <w:rsid w:val="00E67100"/>
    <w:rsid w:val="00E70EF9"/>
    <w:rsid w:val="00E74B97"/>
    <w:rsid w:val="00E768A0"/>
    <w:rsid w:val="00E770D4"/>
    <w:rsid w:val="00E8039B"/>
    <w:rsid w:val="00E8091B"/>
    <w:rsid w:val="00E84361"/>
    <w:rsid w:val="00E84A0C"/>
    <w:rsid w:val="00E854E0"/>
    <w:rsid w:val="00E90438"/>
    <w:rsid w:val="00E91058"/>
    <w:rsid w:val="00E97FF1"/>
    <w:rsid w:val="00EA236B"/>
    <w:rsid w:val="00EA3753"/>
    <w:rsid w:val="00EA3DE9"/>
    <w:rsid w:val="00EA7776"/>
    <w:rsid w:val="00EB3041"/>
    <w:rsid w:val="00EB330F"/>
    <w:rsid w:val="00EB4967"/>
    <w:rsid w:val="00EB4AC5"/>
    <w:rsid w:val="00EB7229"/>
    <w:rsid w:val="00EC15D3"/>
    <w:rsid w:val="00EC4B8E"/>
    <w:rsid w:val="00EC60F9"/>
    <w:rsid w:val="00EC7ADD"/>
    <w:rsid w:val="00ED01D0"/>
    <w:rsid w:val="00ED27D2"/>
    <w:rsid w:val="00ED2E6F"/>
    <w:rsid w:val="00ED4220"/>
    <w:rsid w:val="00ED7DB3"/>
    <w:rsid w:val="00EE0568"/>
    <w:rsid w:val="00EE18FF"/>
    <w:rsid w:val="00EE446B"/>
    <w:rsid w:val="00EE4FF5"/>
    <w:rsid w:val="00EE528D"/>
    <w:rsid w:val="00EE5DA7"/>
    <w:rsid w:val="00EE6C33"/>
    <w:rsid w:val="00EE6DB8"/>
    <w:rsid w:val="00EE7750"/>
    <w:rsid w:val="00EF0E85"/>
    <w:rsid w:val="00EF2B6D"/>
    <w:rsid w:val="00EF302F"/>
    <w:rsid w:val="00F00938"/>
    <w:rsid w:val="00F02015"/>
    <w:rsid w:val="00F06B67"/>
    <w:rsid w:val="00F10AFC"/>
    <w:rsid w:val="00F118EE"/>
    <w:rsid w:val="00F11B92"/>
    <w:rsid w:val="00F17BB7"/>
    <w:rsid w:val="00F20395"/>
    <w:rsid w:val="00F212DE"/>
    <w:rsid w:val="00F232AB"/>
    <w:rsid w:val="00F233DD"/>
    <w:rsid w:val="00F27D53"/>
    <w:rsid w:val="00F30E5D"/>
    <w:rsid w:val="00F31282"/>
    <w:rsid w:val="00F322A5"/>
    <w:rsid w:val="00F34E9E"/>
    <w:rsid w:val="00F34EBF"/>
    <w:rsid w:val="00F36F17"/>
    <w:rsid w:val="00F43791"/>
    <w:rsid w:val="00F454E3"/>
    <w:rsid w:val="00F459C2"/>
    <w:rsid w:val="00F5043A"/>
    <w:rsid w:val="00F53292"/>
    <w:rsid w:val="00F5440A"/>
    <w:rsid w:val="00F544DC"/>
    <w:rsid w:val="00F54627"/>
    <w:rsid w:val="00F6326B"/>
    <w:rsid w:val="00F63AE4"/>
    <w:rsid w:val="00F66363"/>
    <w:rsid w:val="00F66FE5"/>
    <w:rsid w:val="00F73ABB"/>
    <w:rsid w:val="00F74311"/>
    <w:rsid w:val="00F75C35"/>
    <w:rsid w:val="00F76B2A"/>
    <w:rsid w:val="00F77249"/>
    <w:rsid w:val="00F80228"/>
    <w:rsid w:val="00F803F6"/>
    <w:rsid w:val="00F805FB"/>
    <w:rsid w:val="00F856E5"/>
    <w:rsid w:val="00F95643"/>
    <w:rsid w:val="00F96280"/>
    <w:rsid w:val="00F96BFC"/>
    <w:rsid w:val="00FA3C18"/>
    <w:rsid w:val="00FA72F5"/>
    <w:rsid w:val="00FB45B2"/>
    <w:rsid w:val="00FB6C12"/>
    <w:rsid w:val="00FC3B60"/>
    <w:rsid w:val="00FC4A76"/>
    <w:rsid w:val="00FC5B91"/>
    <w:rsid w:val="00FD385A"/>
    <w:rsid w:val="00FD39D7"/>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4493F3"/>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uiPriority w:val="9"/>
    <w:unhideWhenUsed/>
    <w:qFormat/>
    <w:rsid w:val="00973A1E"/>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973A1E"/>
    <w:pPr>
      <w:keepNext/>
      <w:keepLines/>
      <w:spacing w:before="280" w:after="290" w:line="376" w:lineRule="auto"/>
      <w:outlineLvl w:val="4"/>
    </w:pPr>
    <w:rPr>
      <w:rFonts w:asciiTheme="minorHAnsi" w:eastAsiaTheme="minorEastAsia" w:hAnsiTheme="minorHAnsi" w:cstheme="minorBidi"/>
      <w:b/>
      <w:bCs/>
      <w:sz w:val="28"/>
      <w:szCs w:val="28"/>
    </w:rPr>
  </w:style>
  <w:style w:type="paragraph" w:styleId="6">
    <w:name w:val="heading 6"/>
    <w:basedOn w:val="a"/>
    <w:next w:val="a"/>
    <w:link w:val="60"/>
    <w:uiPriority w:val="9"/>
    <w:unhideWhenUsed/>
    <w:qFormat/>
    <w:rsid w:val="00973A1E"/>
    <w:pPr>
      <w:keepNext/>
      <w:keepLines/>
      <w:spacing w:before="240" w:after="64" w:line="320" w:lineRule="auto"/>
      <w:outlineLvl w:val="5"/>
    </w:pPr>
    <w:rPr>
      <w:rFonts w:asciiTheme="majorHAnsi" w:eastAsiaTheme="majorEastAsia" w:hAnsiTheme="majorHAnsi" w:cstheme="majorBidi"/>
      <w:b/>
      <w:bCs/>
      <w:szCs w:val="24"/>
    </w:rPr>
  </w:style>
  <w:style w:type="paragraph" w:styleId="7">
    <w:name w:val="heading 7"/>
    <w:basedOn w:val="a"/>
    <w:next w:val="a"/>
    <w:link w:val="70"/>
    <w:uiPriority w:val="9"/>
    <w:unhideWhenUsed/>
    <w:qFormat/>
    <w:rsid w:val="00755810"/>
    <w:pPr>
      <w:keepNext/>
      <w:keepLines/>
      <w:spacing w:before="240" w:after="64" w:line="320" w:lineRule="auto"/>
      <w:outlineLvl w:val="6"/>
    </w:pPr>
    <w:rPr>
      <w:rFonts w:asciiTheme="minorHAnsi" w:eastAsiaTheme="minorEastAsia" w:hAnsiTheme="minorHAnsi" w:cstheme="minorBidi"/>
      <w:b/>
      <w:bCs/>
      <w:szCs w:val="24"/>
    </w:rPr>
  </w:style>
  <w:style w:type="paragraph" w:styleId="8">
    <w:name w:val="heading 8"/>
    <w:basedOn w:val="a"/>
    <w:next w:val="a"/>
    <w:link w:val="80"/>
    <w:uiPriority w:val="9"/>
    <w:unhideWhenUsed/>
    <w:qFormat/>
    <w:rsid w:val="00755810"/>
    <w:pPr>
      <w:keepNext/>
      <w:keepLines/>
      <w:spacing w:before="240" w:after="64" w:line="320" w:lineRule="auto"/>
      <w:outlineLvl w:val="7"/>
    </w:pPr>
    <w:rPr>
      <w:rFonts w:asciiTheme="majorHAnsi" w:eastAsiaTheme="majorEastAsia" w:hAnsiTheme="majorHAnsi" w:cstheme="majorBidi"/>
      <w:szCs w:val="24"/>
    </w:rPr>
  </w:style>
  <w:style w:type="paragraph" w:styleId="9">
    <w:name w:val="heading 9"/>
    <w:basedOn w:val="a"/>
    <w:next w:val="a"/>
    <w:link w:val="90"/>
    <w:uiPriority w:val="9"/>
    <w:unhideWhenUsed/>
    <w:qFormat/>
    <w:rsid w:val="00755810"/>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rsid w:val="006B0F0D"/>
    <w:rPr>
      <w:sz w:val="18"/>
      <w:szCs w:val="18"/>
    </w:rPr>
  </w:style>
  <w:style w:type="character" w:customStyle="1" w:styleId="af6">
    <w:name w:val="批注框文本 字符"/>
    <w:link w:val="af4"/>
    <w:uiPriority w:val="99"/>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7"/>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oc11">
    <w:name w:val="doc11"/>
    <w:basedOn w:val="a0"/>
    <w:rsid w:val="004C725E"/>
    <w:rPr>
      <w:sz w:val="16"/>
      <w:szCs w:val="16"/>
    </w:rPr>
  </w:style>
  <w:style w:type="character" w:styleId="aff5">
    <w:name w:val="FollowedHyperlink"/>
    <w:uiPriority w:val="99"/>
    <w:rsid w:val="004C725E"/>
    <w:rPr>
      <w:color w:val="800080"/>
      <w:u w:val="single"/>
    </w:rPr>
  </w:style>
  <w:style w:type="character" w:customStyle="1" w:styleId="Char6">
    <w:name w:val="纯文本 Char"/>
    <w:rsid w:val="00030B51"/>
    <w:rPr>
      <w:rFonts w:ascii="宋体" w:eastAsia="宋体" w:hAnsi="Courier New" w:cs="Courier New"/>
      <w:kern w:val="2"/>
      <w:sz w:val="21"/>
      <w:szCs w:val="21"/>
      <w:lang w:val="en-US" w:eastAsia="zh-CN" w:bidi="ar-SA"/>
    </w:rPr>
  </w:style>
  <w:style w:type="paragraph" w:styleId="aff6">
    <w:name w:val="Note Heading"/>
    <w:basedOn w:val="a"/>
    <w:next w:val="a"/>
    <w:link w:val="aff7"/>
    <w:uiPriority w:val="99"/>
    <w:unhideWhenUsed/>
    <w:rsid w:val="00564F61"/>
    <w:pPr>
      <w:jc w:val="center"/>
    </w:pPr>
    <w:rPr>
      <w:sz w:val="28"/>
      <w:szCs w:val="28"/>
      <w:lang w:eastAsia="zh-TW"/>
    </w:rPr>
  </w:style>
  <w:style w:type="character" w:customStyle="1" w:styleId="aff7">
    <w:name w:val="注释标题 字符"/>
    <w:basedOn w:val="a0"/>
    <w:link w:val="aff6"/>
    <w:uiPriority w:val="99"/>
    <w:rsid w:val="00564F61"/>
    <w:rPr>
      <w:rFonts w:ascii="宋体" w:hAnsi="宋体"/>
      <w:kern w:val="2"/>
      <w:sz w:val="28"/>
      <w:szCs w:val="28"/>
      <w:lang w:eastAsia="zh-TW"/>
    </w:rPr>
  </w:style>
  <w:style w:type="paragraph" w:styleId="aff8">
    <w:name w:val="Closing"/>
    <w:basedOn w:val="a"/>
    <w:link w:val="aff9"/>
    <w:uiPriority w:val="99"/>
    <w:unhideWhenUsed/>
    <w:rsid w:val="00564F61"/>
    <w:pPr>
      <w:ind w:leftChars="2100" w:left="100"/>
    </w:pPr>
    <w:rPr>
      <w:sz w:val="28"/>
      <w:szCs w:val="28"/>
      <w:lang w:eastAsia="zh-TW"/>
    </w:rPr>
  </w:style>
  <w:style w:type="character" w:customStyle="1" w:styleId="aff9">
    <w:name w:val="结束语 字符"/>
    <w:basedOn w:val="a0"/>
    <w:link w:val="aff8"/>
    <w:uiPriority w:val="99"/>
    <w:rsid w:val="00564F61"/>
    <w:rPr>
      <w:rFonts w:ascii="宋体" w:hAnsi="宋体"/>
      <w:kern w:val="2"/>
      <w:sz w:val="28"/>
      <w:szCs w:val="28"/>
      <w:lang w:eastAsia="zh-TW"/>
    </w:rPr>
  </w:style>
  <w:style w:type="character" w:styleId="affa">
    <w:name w:val="annotation reference"/>
    <w:uiPriority w:val="99"/>
    <w:qFormat/>
    <w:rsid w:val="00430B93"/>
    <w:rPr>
      <w:sz w:val="21"/>
      <w:szCs w:val="21"/>
    </w:rPr>
  </w:style>
  <w:style w:type="paragraph" w:styleId="affb">
    <w:name w:val="Document Map"/>
    <w:basedOn w:val="a"/>
    <w:link w:val="affc"/>
    <w:semiHidden/>
    <w:unhideWhenUsed/>
    <w:rsid w:val="00F77249"/>
    <w:pPr>
      <w:textAlignment w:val="center"/>
    </w:pPr>
    <w:rPr>
      <w:rFonts w:hAnsi="Calibri"/>
      <w:sz w:val="18"/>
      <w:szCs w:val="18"/>
    </w:rPr>
  </w:style>
  <w:style w:type="character" w:customStyle="1" w:styleId="affc">
    <w:name w:val="文档结构图 字符"/>
    <w:basedOn w:val="a0"/>
    <w:link w:val="affb"/>
    <w:uiPriority w:val="99"/>
    <w:semiHidden/>
    <w:rsid w:val="00F77249"/>
    <w:rPr>
      <w:rFonts w:ascii="宋体"/>
      <w:kern w:val="2"/>
      <w:sz w:val="18"/>
      <w:szCs w:val="18"/>
    </w:rPr>
  </w:style>
  <w:style w:type="paragraph" w:styleId="32">
    <w:name w:val="Body Text Indent 3"/>
    <w:basedOn w:val="a"/>
    <w:link w:val="33"/>
    <w:uiPriority w:val="99"/>
    <w:semiHidden/>
    <w:unhideWhenUsed/>
    <w:rsid w:val="00F77249"/>
    <w:pPr>
      <w:spacing w:after="120"/>
      <w:ind w:leftChars="200" w:left="420"/>
      <w:textAlignment w:val="center"/>
    </w:pPr>
    <w:rPr>
      <w:rFonts w:ascii="Calibri" w:eastAsia="宋体-方正超大字符集" w:hAnsi="Calibri"/>
      <w:sz w:val="16"/>
      <w:szCs w:val="16"/>
    </w:rPr>
  </w:style>
  <w:style w:type="character" w:customStyle="1" w:styleId="33">
    <w:name w:val="正文文本缩进 3 字符"/>
    <w:basedOn w:val="a0"/>
    <w:link w:val="32"/>
    <w:uiPriority w:val="99"/>
    <w:semiHidden/>
    <w:rsid w:val="00F77249"/>
    <w:rPr>
      <w:rFonts w:eastAsia="宋体-方正超大字符集"/>
      <w:kern w:val="2"/>
      <w:sz w:val="16"/>
      <w:szCs w:val="16"/>
    </w:rPr>
  </w:style>
  <w:style w:type="paragraph" w:styleId="affd">
    <w:name w:val="annotation text"/>
    <w:basedOn w:val="a"/>
    <w:link w:val="affe"/>
    <w:uiPriority w:val="99"/>
    <w:unhideWhenUsed/>
    <w:rsid w:val="00F77249"/>
    <w:pPr>
      <w:jc w:val="left"/>
      <w:textAlignment w:val="center"/>
    </w:pPr>
    <w:rPr>
      <w:rFonts w:ascii="Calibri" w:eastAsia="宋体-方正超大字符集" w:hAnsi="Calibri"/>
      <w:sz w:val="28"/>
    </w:rPr>
  </w:style>
  <w:style w:type="character" w:customStyle="1" w:styleId="affe">
    <w:name w:val="批注文字 字符"/>
    <w:basedOn w:val="a0"/>
    <w:link w:val="affd"/>
    <w:uiPriority w:val="99"/>
    <w:rsid w:val="00F77249"/>
    <w:rPr>
      <w:rFonts w:eastAsia="宋体-方正超大字符集"/>
      <w:kern w:val="2"/>
      <w:sz w:val="28"/>
      <w:szCs w:val="22"/>
    </w:rPr>
  </w:style>
  <w:style w:type="paragraph" w:styleId="afff">
    <w:name w:val="annotation subject"/>
    <w:basedOn w:val="affd"/>
    <w:next w:val="affd"/>
    <w:link w:val="afff0"/>
    <w:uiPriority w:val="99"/>
    <w:semiHidden/>
    <w:unhideWhenUsed/>
    <w:rsid w:val="00F77249"/>
    <w:rPr>
      <w:b/>
      <w:bCs/>
    </w:rPr>
  </w:style>
  <w:style w:type="character" w:customStyle="1" w:styleId="afff0">
    <w:name w:val="批注主题 字符"/>
    <w:basedOn w:val="affe"/>
    <w:link w:val="afff"/>
    <w:uiPriority w:val="99"/>
    <w:semiHidden/>
    <w:rsid w:val="00F77249"/>
    <w:rPr>
      <w:rFonts w:eastAsia="宋体-方正超大字符集"/>
      <w:b/>
      <w:bCs/>
      <w:kern w:val="2"/>
      <w:sz w:val="28"/>
      <w:szCs w:val="22"/>
    </w:rPr>
  </w:style>
  <w:style w:type="character" w:styleId="afff1">
    <w:name w:val="Unresolved Mention"/>
    <w:basedOn w:val="a0"/>
    <w:uiPriority w:val="99"/>
    <w:semiHidden/>
    <w:unhideWhenUsed/>
    <w:rsid w:val="00137B4B"/>
    <w:rPr>
      <w:color w:val="605E5C"/>
      <w:shd w:val="clear" w:color="auto" w:fill="E1DFDD"/>
    </w:rPr>
  </w:style>
  <w:style w:type="paragraph" w:customStyle="1" w:styleId="CharCharCharCharCharCharChar">
    <w:name w:val="Char Char Char Char Char Char Char"/>
    <w:basedOn w:val="a"/>
    <w:rsid w:val="00137B4B"/>
    <w:rPr>
      <w:rFonts w:ascii="Tahoma" w:hAnsi="Tahoma"/>
      <w:szCs w:val="20"/>
    </w:rPr>
  </w:style>
  <w:style w:type="character" w:customStyle="1" w:styleId="firstpagedate">
    <w:name w:val="firstpagedate"/>
    <w:basedOn w:val="a0"/>
    <w:rsid w:val="00137B4B"/>
  </w:style>
  <w:style w:type="character" w:customStyle="1" w:styleId="FootnoteTextChar">
    <w:name w:val="Footnote Text Char"/>
    <w:basedOn w:val="a0"/>
    <w:semiHidden/>
    <w:locked/>
    <w:rsid w:val="00137B4B"/>
    <w:rPr>
      <w:rFonts w:eastAsia="宋体"/>
      <w:kern w:val="2"/>
      <w:sz w:val="18"/>
      <w:szCs w:val="18"/>
      <w:lang w:val="en-US" w:eastAsia="zh-CN" w:bidi="ar-SA"/>
    </w:rPr>
  </w:style>
  <w:style w:type="character" w:customStyle="1" w:styleId="40">
    <w:name w:val="标题 4 字符"/>
    <w:basedOn w:val="a0"/>
    <w:link w:val="4"/>
    <w:uiPriority w:val="9"/>
    <w:rsid w:val="00973A1E"/>
    <w:rPr>
      <w:rFonts w:asciiTheme="majorHAnsi" w:eastAsiaTheme="majorEastAsia" w:hAnsiTheme="majorHAnsi" w:cstheme="majorBidi"/>
      <w:b/>
      <w:bCs/>
      <w:kern w:val="2"/>
      <w:sz w:val="28"/>
      <w:szCs w:val="28"/>
    </w:rPr>
  </w:style>
  <w:style w:type="character" w:customStyle="1" w:styleId="50">
    <w:name w:val="标题 5 字符"/>
    <w:basedOn w:val="a0"/>
    <w:link w:val="5"/>
    <w:uiPriority w:val="9"/>
    <w:rsid w:val="00973A1E"/>
    <w:rPr>
      <w:rFonts w:asciiTheme="minorHAnsi" w:eastAsiaTheme="minorEastAsia" w:hAnsiTheme="minorHAnsi" w:cstheme="minorBidi"/>
      <w:b/>
      <w:bCs/>
      <w:kern w:val="2"/>
      <w:sz w:val="28"/>
      <w:szCs w:val="28"/>
    </w:rPr>
  </w:style>
  <w:style w:type="character" w:customStyle="1" w:styleId="60">
    <w:name w:val="标题 6 字符"/>
    <w:basedOn w:val="a0"/>
    <w:link w:val="6"/>
    <w:uiPriority w:val="9"/>
    <w:rsid w:val="00973A1E"/>
    <w:rPr>
      <w:rFonts w:asciiTheme="majorHAnsi" w:eastAsiaTheme="majorEastAsia" w:hAnsiTheme="majorHAnsi" w:cstheme="majorBidi"/>
      <w:b/>
      <w:bCs/>
      <w:kern w:val="2"/>
      <w:sz w:val="24"/>
      <w:szCs w:val="24"/>
    </w:rPr>
  </w:style>
  <w:style w:type="paragraph" w:customStyle="1" w:styleId="afff2">
    <w:name w:val="引文"/>
    <w:basedOn w:val="a"/>
    <w:link w:val="Char7"/>
    <w:autoRedefine/>
    <w:qFormat/>
    <w:rsid w:val="00973A1E"/>
    <w:pPr>
      <w:ind w:leftChars="100" w:left="210" w:rightChars="100" w:right="210" w:firstLine="420"/>
    </w:pPr>
    <w:rPr>
      <w:rFonts w:ascii="楷体" w:eastAsia="楷体" w:hAnsi="楷体" w:cstheme="minorBidi"/>
      <w:sz w:val="21"/>
    </w:rPr>
  </w:style>
  <w:style w:type="character" w:customStyle="1" w:styleId="Char7">
    <w:name w:val="引文 Char"/>
    <w:basedOn w:val="a0"/>
    <w:link w:val="afff2"/>
    <w:rsid w:val="00973A1E"/>
    <w:rPr>
      <w:rFonts w:ascii="楷体" w:eastAsia="楷体" w:hAnsi="楷体" w:cstheme="minorBidi"/>
      <w:kern w:val="2"/>
      <w:sz w:val="21"/>
      <w:szCs w:val="22"/>
    </w:rPr>
  </w:style>
  <w:style w:type="character" w:customStyle="1" w:styleId="subject">
    <w:name w:val="subject"/>
    <w:basedOn w:val="a0"/>
    <w:rsid w:val="00CC23B6"/>
  </w:style>
  <w:style w:type="character" w:customStyle="1" w:styleId="70">
    <w:name w:val="标题 7 字符"/>
    <w:basedOn w:val="a0"/>
    <w:link w:val="7"/>
    <w:uiPriority w:val="9"/>
    <w:rsid w:val="00755810"/>
    <w:rPr>
      <w:rFonts w:asciiTheme="minorHAnsi" w:eastAsiaTheme="minorEastAsia" w:hAnsiTheme="minorHAnsi" w:cstheme="minorBidi"/>
      <w:b/>
      <w:bCs/>
      <w:kern w:val="2"/>
      <w:sz w:val="24"/>
      <w:szCs w:val="24"/>
    </w:rPr>
  </w:style>
  <w:style w:type="character" w:customStyle="1" w:styleId="80">
    <w:name w:val="标题 8 字符"/>
    <w:basedOn w:val="a0"/>
    <w:link w:val="8"/>
    <w:uiPriority w:val="9"/>
    <w:rsid w:val="00755810"/>
    <w:rPr>
      <w:rFonts w:asciiTheme="majorHAnsi" w:eastAsiaTheme="majorEastAsia" w:hAnsiTheme="majorHAnsi" w:cstheme="majorBidi"/>
      <w:kern w:val="2"/>
      <w:sz w:val="24"/>
      <w:szCs w:val="24"/>
    </w:rPr>
  </w:style>
  <w:style w:type="character" w:customStyle="1" w:styleId="90">
    <w:name w:val="标题 9 字符"/>
    <w:basedOn w:val="a0"/>
    <w:link w:val="9"/>
    <w:uiPriority w:val="9"/>
    <w:qFormat/>
    <w:rsid w:val="00755810"/>
    <w:rPr>
      <w:rFonts w:asciiTheme="majorHAnsi" w:eastAsiaTheme="majorEastAsia" w:hAnsiTheme="majorHAnsi" w:cstheme="majorBidi"/>
      <w:kern w:val="2"/>
      <w:sz w:val="21"/>
      <w:szCs w:val="21"/>
    </w:rPr>
  </w:style>
  <w:style w:type="paragraph" w:styleId="afff3">
    <w:name w:val="Subtitle"/>
    <w:basedOn w:val="a"/>
    <w:next w:val="a"/>
    <w:link w:val="afff4"/>
    <w:uiPriority w:val="11"/>
    <w:qFormat/>
    <w:rsid w:val="00755810"/>
    <w:pPr>
      <w:spacing w:before="240" w:after="60" w:line="312" w:lineRule="auto"/>
      <w:jc w:val="center"/>
      <w:outlineLvl w:val="1"/>
    </w:pPr>
    <w:rPr>
      <w:rFonts w:asciiTheme="majorHAnsi" w:hAnsiTheme="majorHAnsi" w:cstheme="majorBidi"/>
      <w:b/>
      <w:bCs/>
      <w:kern w:val="28"/>
      <w:sz w:val="32"/>
      <w:szCs w:val="32"/>
    </w:rPr>
  </w:style>
  <w:style w:type="character" w:customStyle="1" w:styleId="afff4">
    <w:name w:val="副标题 字符"/>
    <w:basedOn w:val="a0"/>
    <w:link w:val="afff3"/>
    <w:uiPriority w:val="11"/>
    <w:rsid w:val="00755810"/>
    <w:rPr>
      <w:rFonts w:asciiTheme="majorHAnsi" w:hAnsiTheme="majorHAnsi" w:cstheme="majorBidi"/>
      <w:b/>
      <w:bCs/>
      <w:kern w:val="28"/>
      <w:sz w:val="32"/>
      <w:szCs w:val="32"/>
    </w:rPr>
  </w:style>
  <w:style w:type="character" w:styleId="afff5">
    <w:name w:val="Subtle Emphasis"/>
    <w:basedOn w:val="a0"/>
    <w:uiPriority w:val="19"/>
    <w:qFormat/>
    <w:rsid w:val="00755810"/>
    <w:rPr>
      <w:i/>
      <w:iCs/>
      <w:color w:val="808080" w:themeColor="text1" w:themeTint="7F"/>
    </w:rPr>
  </w:style>
  <w:style w:type="paragraph" w:styleId="afff6">
    <w:name w:val="Quote"/>
    <w:basedOn w:val="a"/>
    <w:next w:val="a"/>
    <w:link w:val="afff7"/>
    <w:uiPriority w:val="29"/>
    <w:qFormat/>
    <w:rsid w:val="00755810"/>
    <w:rPr>
      <w:rFonts w:asciiTheme="minorHAnsi" w:eastAsiaTheme="minorEastAsia" w:hAnsiTheme="minorHAnsi" w:cstheme="minorBidi"/>
      <w:i/>
      <w:iCs/>
      <w:color w:val="000000" w:themeColor="text1"/>
      <w:sz w:val="21"/>
    </w:rPr>
  </w:style>
  <w:style w:type="character" w:customStyle="1" w:styleId="afff7">
    <w:name w:val="引用 字符"/>
    <w:basedOn w:val="a0"/>
    <w:link w:val="afff6"/>
    <w:uiPriority w:val="29"/>
    <w:rsid w:val="00755810"/>
    <w:rPr>
      <w:rFonts w:asciiTheme="minorHAnsi" w:eastAsiaTheme="minorEastAsia" w:hAnsiTheme="minorHAnsi" w:cstheme="minorBidi"/>
      <w:i/>
      <w:iCs/>
      <w:color w:val="000000" w:themeColor="text1"/>
      <w:kern w:val="2"/>
      <w:sz w:val="21"/>
      <w:szCs w:val="22"/>
    </w:rPr>
  </w:style>
  <w:style w:type="paragraph" w:styleId="afff8">
    <w:name w:val="Intense Quote"/>
    <w:basedOn w:val="a"/>
    <w:next w:val="a"/>
    <w:link w:val="afff9"/>
    <w:uiPriority w:val="30"/>
    <w:qFormat/>
    <w:rsid w:val="00755810"/>
    <w:pPr>
      <w:pBdr>
        <w:bottom w:val="single" w:sz="4" w:space="4" w:color="5B9BD5" w:themeColor="accent1"/>
      </w:pBdr>
      <w:spacing w:before="200" w:after="280"/>
      <w:ind w:left="936" w:right="936"/>
    </w:pPr>
    <w:rPr>
      <w:rFonts w:asciiTheme="minorHAnsi" w:eastAsiaTheme="minorEastAsia" w:hAnsiTheme="minorHAnsi" w:cstheme="minorBidi"/>
      <w:b/>
      <w:bCs/>
      <w:i/>
      <w:iCs/>
      <w:color w:val="5B9BD5" w:themeColor="accent1"/>
      <w:sz w:val="21"/>
    </w:rPr>
  </w:style>
  <w:style w:type="character" w:customStyle="1" w:styleId="afff9">
    <w:name w:val="明显引用 字符"/>
    <w:basedOn w:val="a0"/>
    <w:link w:val="afff8"/>
    <w:uiPriority w:val="30"/>
    <w:rsid w:val="00755810"/>
    <w:rPr>
      <w:rFonts w:asciiTheme="minorHAnsi" w:eastAsiaTheme="minorEastAsia" w:hAnsiTheme="minorHAnsi" w:cstheme="minorBidi"/>
      <w:b/>
      <w:bCs/>
      <w:i/>
      <w:iCs/>
      <w:color w:val="5B9BD5" w:themeColor="accent1"/>
      <w:kern w:val="2"/>
      <w:sz w:val="21"/>
      <w:szCs w:val="22"/>
    </w:rPr>
  </w:style>
  <w:style w:type="character" w:styleId="afffa">
    <w:name w:val="Intense Reference"/>
    <w:basedOn w:val="a0"/>
    <w:uiPriority w:val="32"/>
    <w:qFormat/>
    <w:rsid w:val="00755810"/>
    <w:rPr>
      <w:b/>
      <w:bCs/>
      <w:smallCaps/>
      <w:color w:val="ED7D31"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26680223">
      <w:bodyDiv w:val="1"/>
      <w:marLeft w:val="0"/>
      <w:marRight w:val="0"/>
      <w:marTop w:val="0"/>
      <w:marBottom w:val="0"/>
      <w:divBdr>
        <w:top w:val="none" w:sz="0" w:space="0" w:color="auto"/>
        <w:left w:val="none" w:sz="0" w:space="0" w:color="auto"/>
        <w:bottom w:val="none" w:sz="0" w:space="0" w:color="auto"/>
        <w:right w:val="none" w:sz="0" w:space="0" w:color="auto"/>
      </w:divBdr>
    </w:div>
    <w:div w:id="35858362">
      <w:bodyDiv w:val="1"/>
      <w:marLeft w:val="0"/>
      <w:marRight w:val="0"/>
      <w:marTop w:val="0"/>
      <w:marBottom w:val="0"/>
      <w:divBdr>
        <w:top w:val="none" w:sz="0" w:space="0" w:color="auto"/>
        <w:left w:val="none" w:sz="0" w:space="0" w:color="auto"/>
        <w:bottom w:val="none" w:sz="0" w:space="0" w:color="auto"/>
        <w:right w:val="none" w:sz="0" w:space="0" w:color="auto"/>
      </w:divBdr>
      <w:divsChild>
        <w:div w:id="131756450">
          <w:marLeft w:val="0"/>
          <w:marRight w:val="0"/>
          <w:marTop w:val="0"/>
          <w:marBottom w:val="0"/>
          <w:divBdr>
            <w:top w:val="none" w:sz="0" w:space="0" w:color="auto"/>
            <w:left w:val="none" w:sz="0" w:space="0" w:color="auto"/>
            <w:bottom w:val="none" w:sz="0" w:space="0" w:color="auto"/>
            <w:right w:val="none" w:sz="0" w:space="0" w:color="auto"/>
          </w:divBdr>
        </w:div>
      </w:divsChild>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126165454">
      <w:bodyDiv w:val="1"/>
      <w:marLeft w:val="0"/>
      <w:marRight w:val="0"/>
      <w:marTop w:val="0"/>
      <w:marBottom w:val="0"/>
      <w:divBdr>
        <w:top w:val="none" w:sz="0" w:space="0" w:color="auto"/>
        <w:left w:val="none" w:sz="0" w:space="0" w:color="auto"/>
        <w:bottom w:val="none" w:sz="0" w:space="0" w:color="auto"/>
        <w:right w:val="none" w:sz="0" w:space="0" w:color="auto"/>
      </w:divBdr>
    </w:div>
    <w:div w:id="197664291">
      <w:bodyDiv w:val="1"/>
      <w:marLeft w:val="0"/>
      <w:marRight w:val="0"/>
      <w:marTop w:val="0"/>
      <w:marBottom w:val="0"/>
      <w:divBdr>
        <w:top w:val="none" w:sz="0" w:space="0" w:color="auto"/>
        <w:left w:val="none" w:sz="0" w:space="0" w:color="auto"/>
        <w:bottom w:val="none" w:sz="0" w:space="0" w:color="auto"/>
        <w:right w:val="none" w:sz="0" w:space="0" w:color="auto"/>
      </w:divBdr>
    </w:div>
    <w:div w:id="247426829">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935700">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900162">
      <w:bodyDiv w:val="1"/>
      <w:marLeft w:val="0"/>
      <w:marRight w:val="0"/>
      <w:marTop w:val="0"/>
      <w:marBottom w:val="0"/>
      <w:divBdr>
        <w:top w:val="none" w:sz="0" w:space="0" w:color="auto"/>
        <w:left w:val="none" w:sz="0" w:space="0" w:color="auto"/>
        <w:bottom w:val="none" w:sz="0" w:space="0" w:color="auto"/>
        <w:right w:val="none" w:sz="0" w:space="0" w:color="auto"/>
      </w:divBdr>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7380">
      <w:bodyDiv w:val="1"/>
      <w:marLeft w:val="0"/>
      <w:marRight w:val="0"/>
      <w:marTop w:val="0"/>
      <w:marBottom w:val="0"/>
      <w:divBdr>
        <w:top w:val="none" w:sz="0" w:space="0" w:color="auto"/>
        <w:left w:val="none" w:sz="0" w:space="0" w:color="auto"/>
        <w:bottom w:val="none" w:sz="0" w:space="0" w:color="auto"/>
        <w:right w:val="none" w:sz="0" w:space="0" w:color="auto"/>
      </w:divBdr>
      <w:divsChild>
        <w:div w:id="129831147">
          <w:marLeft w:val="0"/>
          <w:marRight w:val="0"/>
          <w:marTop w:val="0"/>
          <w:marBottom w:val="0"/>
          <w:divBdr>
            <w:top w:val="none" w:sz="0" w:space="0" w:color="auto"/>
            <w:left w:val="none" w:sz="0" w:space="0" w:color="auto"/>
            <w:bottom w:val="none" w:sz="0" w:space="0" w:color="auto"/>
            <w:right w:val="none" w:sz="0" w:space="0" w:color="auto"/>
          </w:divBdr>
        </w:div>
      </w:divsChild>
    </w:div>
    <w:div w:id="639725148">
      <w:bodyDiv w:val="1"/>
      <w:marLeft w:val="0"/>
      <w:marRight w:val="0"/>
      <w:marTop w:val="0"/>
      <w:marBottom w:val="0"/>
      <w:divBdr>
        <w:top w:val="none" w:sz="0" w:space="0" w:color="auto"/>
        <w:left w:val="none" w:sz="0" w:space="0" w:color="auto"/>
        <w:bottom w:val="none" w:sz="0" w:space="0" w:color="auto"/>
        <w:right w:val="none" w:sz="0" w:space="0" w:color="auto"/>
      </w:divBdr>
    </w:div>
    <w:div w:id="710569287">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083795162">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0651150">
      <w:bodyDiv w:val="1"/>
      <w:marLeft w:val="0"/>
      <w:marRight w:val="0"/>
      <w:marTop w:val="0"/>
      <w:marBottom w:val="0"/>
      <w:divBdr>
        <w:top w:val="none" w:sz="0" w:space="0" w:color="auto"/>
        <w:left w:val="none" w:sz="0" w:space="0" w:color="auto"/>
        <w:bottom w:val="none" w:sz="0" w:space="0" w:color="auto"/>
        <w:right w:val="none" w:sz="0" w:space="0" w:color="auto"/>
      </w:divBdr>
    </w:div>
    <w:div w:id="1256400571">
      <w:bodyDiv w:val="1"/>
      <w:marLeft w:val="0"/>
      <w:marRight w:val="0"/>
      <w:marTop w:val="0"/>
      <w:marBottom w:val="0"/>
      <w:divBdr>
        <w:top w:val="none" w:sz="0" w:space="0" w:color="auto"/>
        <w:left w:val="none" w:sz="0" w:space="0" w:color="auto"/>
        <w:bottom w:val="none" w:sz="0" w:space="0" w:color="auto"/>
        <w:right w:val="none" w:sz="0" w:space="0" w:color="auto"/>
      </w:divBdr>
    </w:div>
    <w:div w:id="1295940962">
      <w:bodyDiv w:val="1"/>
      <w:marLeft w:val="0"/>
      <w:marRight w:val="0"/>
      <w:marTop w:val="0"/>
      <w:marBottom w:val="0"/>
      <w:divBdr>
        <w:top w:val="none" w:sz="0" w:space="0" w:color="auto"/>
        <w:left w:val="none" w:sz="0" w:space="0" w:color="auto"/>
        <w:bottom w:val="none" w:sz="0" w:space="0" w:color="auto"/>
        <w:right w:val="none" w:sz="0" w:space="0" w:color="auto"/>
      </w:divBdr>
    </w:div>
    <w:div w:id="1320695168">
      <w:bodyDiv w:val="1"/>
      <w:marLeft w:val="0"/>
      <w:marRight w:val="0"/>
      <w:marTop w:val="0"/>
      <w:marBottom w:val="0"/>
      <w:divBdr>
        <w:top w:val="none" w:sz="0" w:space="0" w:color="auto"/>
        <w:left w:val="none" w:sz="0" w:space="0" w:color="auto"/>
        <w:bottom w:val="none" w:sz="0" w:space="0" w:color="auto"/>
        <w:right w:val="none" w:sz="0" w:space="0" w:color="auto"/>
      </w:divBdr>
      <w:divsChild>
        <w:div w:id="1049458588">
          <w:marLeft w:val="0"/>
          <w:marRight w:val="0"/>
          <w:marTop w:val="0"/>
          <w:marBottom w:val="0"/>
          <w:divBdr>
            <w:top w:val="none" w:sz="0" w:space="0" w:color="auto"/>
            <w:left w:val="none" w:sz="0" w:space="0" w:color="auto"/>
            <w:bottom w:val="none" w:sz="0" w:space="0" w:color="auto"/>
            <w:right w:val="none" w:sz="0" w:space="0" w:color="auto"/>
          </w:divBdr>
        </w:div>
      </w:divsChild>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363745598">
      <w:bodyDiv w:val="1"/>
      <w:marLeft w:val="0"/>
      <w:marRight w:val="0"/>
      <w:marTop w:val="0"/>
      <w:marBottom w:val="0"/>
      <w:divBdr>
        <w:top w:val="none" w:sz="0" w:space="0" w:color="auto"/>
        <w:left w:val="none" w:sz="0" w:space="0" w:color="auto"/>
        <w:bottom w:val="none" w:sz="0" w:space="0" w:color="auto"/>
        <w:right w:val="none" w:sz="0" w:space="0" w:color="auto"/>
      </w:divBdr>
    </w:div>
    <w:div w:id="1386178419">
      <w:bodyDiv w:val="1"/>
      <w:marLeft w:val="0"/>
      <w:marRight w:val="0"/>
      <w:marTop w:val="0"/>
      <w:marBottom w:val="0"/>
      <w:divBdr>
        <w:top w:val="none" w:sz="0" w:space="0" w:color="auto"/>
        <w:left w:val="none" w:sz="0" w:space="0" w:color="auto"/>
        <w:bottom w:val="none" w:sz="0" w:space="0" w:color="auto"/>
        <w:right w:val="none" w:sz="0" w:space="0" w:color="auto"/>
      </w:divBdr>
    </w:div>
    <w:div w:id="146650334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29967241">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020500577">
      <w:bodyDiv w:val="1"/>
      <w:marLeft w:val="0"/>
      <w:marRight w:val="0"/>
      <w:marTop w:val="0"/>
      <w:marBottom w:val="0"/>
      <w:divBdr>
        <w:top w:val="none" w:sz="0" w:space="0" w:color="auto"/>
        <w:left w:val="none" w:sz="0" w:space="0" w:color="auto"/>
        <w:bottom w:val="none" w:sz="0" w:space="0" w:color="auto"/>
        <w:right w:val="none" w:sz="0" w:space="0" w:color="auto"/>
      </w:divBdr>
      <w:divsChild>
        <w:div w:id="810832047">
          <w:marLeft w:val="0"/>
          <w:marRight w:val="0"/>
          <w:marTop w:val="0"/>
          <w:marBottom w:val="0"/>
          <w:divBdr>
            <w:top w:val="none" w:sz="0" w:space="0" w:color="auto"/>
            <w:left w:val="none" w:sz="0" w:space="0" w:color="auto"/>
            <w:bottom w:val="none" w:sz="0" w:space="0" w:color="auto"/>
            <w:right w:val="none" w:sz="0" w:space="0" w:color="auto"/>
          </w:divBdr>
        </w:div>
      </w:divsChild>
    </w:div>
    <w:div w:id="206741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www.gwz.fudan.edu.cn/Web/Show/4429" TargetMode="External"/><Relationship Id="rId2" Type="http://schemas.openxmlformats.org/officeDocument/2006/relationships/hyperlink" Target="http://www.gwz.fudan.edu.cn/Web/Show/4429" TargetMode="External"/><Relationship Id="rId1" Type="http://schemas.openxmlformats.org/officeDocument/2006/relationships/hyperlink" Target="http://www.guoxue.com/zt/yrq/yrq.htm" TargetMode="External"/><Relationship Id="rId5" Type="http://schemas.openxmlformats.org/officeDocument/2006/relationships/hyperlink" Target="http://www.gwz.fudan.edu.cn/Web/Show/4429" TargetMode="External"/><Relationship Id="rId4" Type="http://schemas.openxmlformats.org/officeDocument/2006/relationships/hyperlink" Target="http://www.ctwx.tsinghua.edu.cn/publish/cetrp/6831/2013/20130105154822816925198/20130105154822816925198_.htm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0CF38-7E7F-489A-B33B-46756ADC0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3518</TotalTime>
  <Pages>38</Pages>
  <Words>2369</Words>
  <Characters>13504</Characters>
  <Application>Microsoft Office Word</Application>
  <DocSecurity>0</DocSecurity>
  <Lines>112</Lines>
  <Paragraphs>31</Paragraphs>
  <ScaleCrop>false</ScaleCrop>
  <Company>GWZ</Company>
  <LinksUpToDate>false</LinksUpToDate>
  <CharactersWithSpaces>15842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578</cp:revision>
  <dcterms:created xsi:type="dcterms:W3CDTF">2018-01-27T09:07:00Z</dcterms:created>
  <dcterms:modified xsi:type="dcterms:W3CDTF">2019-06-15T08:36:00Z</dcterms:modified>
</cp:coreProperties>
</file>